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78A8" w14:textId="3F156F3B" w:rsidR="00E83785" w:rsidRDefault="00E83785" w:rsidP="00E83785">
      <w:pPr>
        <w:pStyle w:val="Heading1"/>
        <w:ind w:left="0"/>
      </w:pPr>
      <w:bookmarkStart w:id="0" w:name="_Toc92738324"/>
      <w:r w:rsidRPr="00E83785">
        <w:t>MATH 1110/1115</w:t>
      </w:r>
      <w:r>
        <w:t xml:space="preserve"> (</w:t>
      </w:r>
      <w:r w:rsidRPr="00E83785">
        <w:t>Accelerated</w:t>
      </w:r>
      <w:r>
        <w:t xml:space="preserve">) </w:t>
      </w:r>
      <w:r w:rsidRPr="00E83785">
        <w:t>Addendum to MATH 1110 Syllabus</w:t>
      </w:r>
    </w:p>
    <w:p w14:paraId="4F18C341" w14:textId="2E44715F" w:rsidR="00E83785" w:rsidRPr="00E83785" w:rsidRDefault="00E83785" w:rsidP="00E83785">
      <w:pPr>
        <w:pStyle w:val="Heading1"/>
      </w:pPr>
    </w:p>
    <w:p w14:paraId="559E385B" w14:textId="0E5F348E" w:rsidR="00E83785" w:rsidRPr="008D6F4C" w:rsidRDefault="00E83785" w:rsidP="00E83785">
      <w:pPr>
        <w:pStyle w:val="Heading2"/>
      </w:pPr>
      <w:r w:rsidRPr="008D6F4C">
        <w:t>Course Objectives</w:t>
      </w:r>
      <w:bookmarkEnd w:id="0"/>
      <w:r>
        <w:t>:</w:t>
      </w:r>
    </w:p>
    <w:p w14:paraId="31E4E7C8" w14:textId="77777777" w:rsidR="00E83785" w:rsidRPr="009C072D" w:rsidRDefault="00E83785" w:rsidP="00E83785">
      <w:pPr>
        <w:rPr>
          <w:b/>
          <w:color w:val="2F5496" w:themeColor="accent1" w:themeShade="BF"/>
          <w:sz w:val="26"/>
          <w:szCs w:val="26"/>
        </w:rPr>
      </w:pPr>
      <w:r w:rsidRPr="009C072D">
        <w:rPr>
          <w:rFonts w:eastAsia="Times New Roman"/>
        </w:rPr>
        <w:t>The course provides a seamless transition into a traditional analysis-based calculus curriculum. Its primary purpose is to thoroughly introduce students to the elementary properties of the transcendental functions encountered in calculus, e.g., the exponential function, the logarithm, and the trigonometric functions. The course is also designed to build mathematical maturity.</w:t>
      </w:r>
    </w:p>
    <w:p w14:paraId="359CACA3" w14:textId="77777777" w:rsidR="00E83785" w:rsidRDefault="00E83785" w:rsidP="00E83785">
      <w:pPr>
        <w:pStyle w:val="Heading1"/>
        <w:rPr>
          <w:w w:val="90"/>
        </w:rPr>
      </w:pPr>
    </w:p>
    <w:p w14:paraId="5697BFE8" w14:textId="756FDDC9" w:rsidR="00E83785" w:rsidRDefault="00E83785" w:rsidP="00E83785">
      <w:pPr>
        <w:pStyle w:val="Heading2"/>
      </w:pPr>
      <w:bookmarkStart w:id="1" w:name="_Toc92738325"/>
      <w:r>
        <w:rPr>
          <w:w w:val="90"/>
        </w:rPr>
        <w:t>Student</w:t>
      </w:r>
      <w:r>
        <w:rPr>
          <w:spacing w:val="28"/>
          <w:w w:val="90"/>
        </w:rPr>
        <w:t xml:space="preserve"> </w:t>
      </w:r>
      <w:r>
        <w:rPr>
          <w:w w:val="90"/>
        </w:rPr>
        <w:t>Learning</w:t>
      </w:r>
      <w:r>
        <w:rPr>
          <w:spacing w:val="28"/>
          <w:w w:val="90"/>
        </w:rPr>
        <w:t xml:space="preserve"> </w:t>
      </w:r>
      <w:r>
        <w:rPr>
          <w:w w:val="90"/>
        </w:rPr>
        <w:t>Outcomes</w:t>
      </w:r>
      <w:bookmarkEnd w:id="1"/>
      <w:r>
        <w:rPr>
          <w:w w:val="90"/>
        </w:rPr>
        <w:t>:</w:t>
      </w:r>
    </w:p>
    <w:p w14:paraId="16AA0731" w14:textId="77777777" w:rsidR="00E83785" w:rsidRDefault="00E83785" w:rsidP="00E83785">
      <w:pPr>
        <w:sectPr w:rsidR="00E83785" w:rsidSect="00405F64">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299"/>
        </w:sectPr>
      </w:pPr>
    </w:p>
    <w:p w14:paraId="13E2A976" w14:textId="77777777" w:rsidR="00E83785" w:rsidRPr="00E83785" w:rsidRDefault="00E83785" w:rsidP="00E83785">
      <w:r w:rsidRPr="00E83785">
        <w:t>1. Graph polynomial functions using transformations</w:t>
      </w:r>
    </w:p>
    <w:p w14:paraId="798BD25B" w14:textId="77777777" w:rsidR="00E83785" w:rsidRPr="00E83785" w:rsidRDefault="00E83785" w:rsidP="00E83785">
      <w:r w:rsidRPr="00E83785">
        <w:t>2. Recognize the real and complex zeros of a polynomial and their multiplicity</w:t>
      </w:r>
    </w:p>
    <w:p w14:paraId="0411D9A2" w14:textId="77777777" w:rsidR="00E83785" w:rsidRPr="00E83785" w:rsidRDefault="00E83785" w:rsidP="00E83785">
      <w:r w:rsidRPr="00E83785">
        <w:t>3. Examine the graph of parent functions</w:t>
      </w:r>
    </w:p>
    <w:p w14:paraId="3BD6D6F8" w14:textId="77777777" w:rsidR="00E83785" w:rsidRPr="00E83785" w:rsidRDefault="00E83785" w:rsidP="00E83785">
      <w:r w:rsidRPr="00E83785">
        <w:t xml:space="preserve">4. Utilize equations and models to solve applied problems </w:t>
      </w:r>
    </w:p>
    <w:p w14:paraId="3C01CDFF" w14:textId="77777777" w:rsidR="00E83785" w:rsidRPr="00E83785" w:rsidRDefault="00E83785" w:rsidP="00E83785">
      <w:r w:rsidRPr="00E83785">
        <w:t xml:space="preserve">5. Review reasonableness of solutions to applied problems </w:t>
      </w:r>
    </w:p>
    <w:p w14:paraId="2C488AAD" w14:textId="77777777" w:rsidR="00E83785" w:rsidRPr="00E83785" w:rsidRDefault="00E83785" w:rsidP="00E83785"/>
    <w:p w14:paraId="75FCDCEC" w14:textId="77777777" w:rsidR="00E83785" w:rsidRPr="00E83785" w:rsidRDefault="00E83785" w:rsidP="00E83785">
      <w:r w:rsidRPr="00E83785">
        <w:t xml:space="preserve">6. Solve algebraic, exponential, logarithmic and trigonometric equations </w:t>
      </w:r>
    </w:p>
    <w:p w14:paraId="00B42DEB" w14:textId="77777777" w:rsidR="00E83785" w:rsidRPr="00E83785" w:rsidRDefault="00E83785" w:rsidP="00E83785">
      <w:r w:rsidRPr="00E83785">
        <w:t>7. Create exponential growth and decay models</w:t>
      </w:r>
    </w:p>
    <w:p w14:paraId="1B523E4E" w14:textId="77777777" w:rsidR="00E83785" w:rsidRPr="00E83785" w:rsidRDefault="00E83785" w:rsidP="00E83785">
      <w:r w:rsidRPr="00E83785">
        <w:t xml:space="preserve">8. Use fundamental identities of trigonometric functions for equation solving </w:t>
      </w:r>
    </w:p>
    <w:p w14:paraId="3D2CF713" w14:textId="77777777" w:rsidR="00E83785" w:rsidRPr="00E83785" w:rsidRDefault="00E83785" w:rsidP="00E83785">
      <w:r w:rsidRPr="00E83785">
        <w:t xml:space="preserve">9. Develop equations of conic sections </w:t>
      </w:r>
    </w:p>
    <w:p w14:paraId="010F76D9" w14:textId="77777777" w:rsidR="00E83785" w:rsidRPr="00E83785" w:rsidRDefault="00E83785" w:rsidP="00E83785">
      <w:r w:rsidRPr="00E83785">
        <w:t xml:space="preserve">10. Draw the graph of polynomial, rational, exponential, logarithmic, and trigonometric </w:t>
      </w:r>
      <w:proofErr w:type="gramStart"/>
      <w:r w:rsidRPr="00E83785">
        <w:t>functions</w:t>
      </w:r>
      <w:proofErr w:type="gramEnd"/>
      <w:r w:rsidRPr="00E83785">
        <w:t xml:space="preserve"> and their inverses </w:t>
      </w:r>
    </w:p>
    <w:p w14:paraId="494F2405" w14:textId="77777777" w:rsidR="00E83785" w:rsidRDefault="00E83785" w:rsidP="00E83785">
      <w:pPr>
        <w:sectPr w:rsidR="00E83785" w:rsidSect="00E05A6C">
          <w:type w:val="continuous"/>
          <w:pgSz w:w="12240" w:h="15840"/>
          <w:pgMar w:top="1160" w:right="600" w:bottom="280" w:left="620" w:header="720" w:footer="720" w:gutter="0"/>
          <w:pgBorders w:offsetFrom="page">
            <w:top w:val="single" w:sz="8" w:space="24" w:color="auto"/>
            <w:left w:val="single" w:sz="8" w:space="24" w:color="auto"/>
            <w:bottom w:val="single" w:sz="8" w:space="24" w:color="auto"/>
            <w:right w:val="single" w:sz="8" w:space="24" w:color="auto"/>
          </w:pgBorders>
          <w:cols w:num="2" w:space="720"/>
        </w:sectPr>
      </w:pPr>
    </w:p>
    <w:p w14:paraId="7C25AEB4" w14:textId="77777777" w:rsidR="00E83785" w:rsidRPr="00E83785" w:rsidRDefault="00E83785" w:rsidP="00E83785">
      <w:pPr>
        <w:pStyle w:val="Heading2"/>
      </w:pPr>
      <w:bookmarkStart w:id="2" w:name="_Toc92738326"/>
      <w:r w:rsidRPr="00E83785">
        <w:t>Core Learning Outcomes:</w:t>
      </w:r>
      <w:bookmarkEnd w:id="2"/>
    </w:p>
    <w:p w14:paraId="79D0ED6D" w14:textId="77777777" w:rsidR="00E83785" w:rsidRDefault="00E83785" w:rsidP="00E83785">
      <w:pPr>
        <w:tabs>
          <w:tab w:val="left" w:pos="322"/>
        </w:tabs>
        <w:spacing w:before="23"/>
      </w:pPr>
      <w:r>
        <w:t>1.</w:t>
      </w:r>
      <w:r>
        <w:tab/>
        <w:t>Apply mathematical concepts and principles to solve problems.</w:t>
      </w:r>
    </w:p>
    <w:p w14:paraId="5F315C24" w14:textId="77777777" w:rsidR="00E83785" w:rsidRDefault="00E83785" w:rsidP="00E83785">
      <w:pPr>
        <w:tabs>
          <w:tab w:val="left" w:pos="322"/>
        </w:tabs>
        <w:spacing w:before="23"/>
      </w:pPr>
      <w:r>
        <w:t>2.</w:t>
      </w:r>
      <w:r>
        <w:tab/>
        <w:t>Differentiate among multiple representations of mathematical information.</w:t>
      </w:r>
    </w:p>
    <w:p w14:paraId="1F1F159D" w14:textId="0A8E59A3" w:rsidR="00E83785" w:rsidRDefault="00E83785" w:rsidP="00E83785">
      <w:pPr>
        <w:tabs>
          <w:tab w:val="left" w:pos="322"/>
        </w:tabs>
        <w:spacing w:before="23"/>
      </w:pPr>
      <w:r>
        <w:t>3.</w:t>
      </w:r>
      <w:r>
        <w:tab/>
        <w:t>Assess mathematical reasonableness and consistency.</w:t>
      </w:r>
    </w:p>
    <w:p w14:paraId="6654F0AC" w14:textId="77777777" w:rsidR="00E83785" w:rsidRDefault="00E83785" w:rsidP="00E83785">
      <w:pPr>
        <w:tabs>
          <w:tab w:val="left" w:pos="322"/>
        </w:tabs>
        <w:spacing w:before="23"/>
      </w:pPr>
    </w:p>
    <w:p w14:paraId="63A1DEDC" w14:textId="4862DAC5" w:rsidR="00E83785" w:rsidRDefault="00E83785" w:rsidP="00E83785">
      <w:pPr>
        <w:pStyle w:val="Heading2"/>
      </w:pPr>
      <w:r>
        <w:t>Assignments:</w:t>
      </w:r>
      <w:r>
        <w:br/>
      </w:r>
      <w:r w:rsidR="00335EF9" w:rsidRPr="00335EF9">
        <w:rPr>
          <w:rStyle w:val="SubtitleChar"/>
        </w:rPr>
        <w:t xml:space="preserve">The following lessons are considered part of the accelerated students’ overall grade. </w:t>
      </w:r>
      <w:r w:rsidR="00335EF9" w:rsidRPr="00DD5AD3">
        <w:rPr>
          <w:rStyle w:val="SubtitleChar"/>
          <w:b/>
          <w:bCs/>
        </w:rPr>
        <w:t>Note</w:t>
      </w:r>
      <w:r w:rsidR="00335EF9" w:rsidRPr="00335EF9">
        <w:rPr>
          <w:rStyle w:val="SubtitleChar"/>
        </w:rPr>
        <w:t xml:space="preserve"> the College algebra </w:t>
      </w:r>
      <w:r w:rsidR="00DD5AD3">
        <w:rPr>
          <w:rStyle w:val="SubtitleChar"/>
        </w:rPr>
        <w:t>assignments</w:t>
      </w:r>
      <w:r w:rsidR="00335EF9" w:rsidRPr="00335EF9">
        <w:rPr>
          <w:rStyle w:val="SubtitleChar"/>
        </w:rPr>
        <w:t xml:space="preserve"> </w:t>
      </w:r>
      <w:r w:rsidR="00DD5AD3">
        <w:rPr>
          <w:rStyle w:val="SubtitleChar"/>
        </w:rPr>
        <w:t>are to be</w:t>
      </w:r>
      <w:r w:rsidR="00335EF9" w:rsidRPr="00335EF9">
        <w:rPr>
          <w:rStyle w:val="SubtitleChar"/>
        </w:rPr>
        <w:t xml:space="preserve"> completed in the students’ original college algebra course.</w:t>
      </w:r>
    </w:p>
    <w:p w14:paraId="2BCC0403" w14:textId="29EBB4F7" w:rsidR="00335EF9" w:rsidRDefault="00D50E15" w:rsidP="00D50E15">
      <w:r>
        <w:t>Unit</w:t>
      </w:r>
      <w:r w:rsidR="00335EF9">
        <w:t>s</w:t>
      </w:r>
      <w:r>
        <w:t xml:space="preserve"> 3 and 4 in College Algebra – Lessons: </w:t>
      </w:r>
      <w:r w:rsidR="00335EF9">
        <w:t>5.2 – 5.6</w:t>
      </w:r>
      <w:r w:rsidR="00E11378">
        <w:t xml:space="preserve"> and </w:t>
      </w:r>
      <w:r w:rsidR="00335EF9">
        <w:t>6.1 – 6.7</w:t>
      </w:r>
    </w:p>
    <w:p w14:paraId="7D9A7ED3" w14:textId="658866F3" w:rsidR="00335EF9" w:rsidRDefault="00335EF9" w:rsidP="00D50E15">
      <w:r>
        <w:t xml:space="preserve">Units 3 and 4 in Pre-calculus – Lessons </w:t>
      </w:r>
      <w:r w:rsidR="00E11378">
        <w:t>7.1 – 7.4, 8.1 – 8.3 and 9.1 – 9.3, 9.5</w:t>
      </w:r>
    </w:p>
    <w:p w14:paraId="5616010E" w14:textId="2CCE1E89" w:rsidR="00E83785" w:rsidRDefault="00E11378" w:rsidP="007C1582">
      <w:r>
        <w:t xml:space="preserve">Exams – MATH 1110 chapters 5, 6, Final Exam, MATH 1115 </w:t>
      </w:r>
      <w:r w:rsidR="00DD5AD3">
        <w:t>C</w:t>
      </w:r>
      <w:r>
        <w:t>hapter 7 exam</w:t>
      </w:r>
      <w:r w:rsidR="007C664A">
        <w:t>, Final Exam</w:t>
      </w:r>
    </w:p>
    <w:p w14:paraId="18848372" w14:textId="77777777" w:rsidR="007C1582" w:rsidRDefault="007C1582" w:rsidP="007C1582"/>
    <w:p w14:paraId="25336309" w14:textId="4BDF7793" w:rsidR="00E83785" w:rsidRDefault="00E83785" w:rsidP="0074669D">
      <w:pPr>
        <w:pStyle w:val="Heading2"/>
        <w:snapToGrid w:val="0"/>
        <w:spacing w:before="0"/>
        <w:contextualSpacing/>
        <w:sectPr w:rsidR="00E83785" w:rsidSect="00E83785">
          <w:type w:val="continuous"/>
          <w:pgSz w:w="12240" w:h="15840"/>
          <w:pgMar w:top="800" w:right="600" w:bottom="280" w:left="620" w:header="720" w:footer="720" w:gutter="0"/>
          <w:pgBorders w:offsetFrom="page">
            <w:top w:val="single" w:sz="8" w:space="24" w:color="auto"/>
            <w:left w:val="single" w:sz="8" w:space="24" w:color="auto"/>
            <w:bottom w:val="single" w:sz="8" w:space="24" w:color="auto"/>
            <w:right w:val="single" w:sz="8" w:space="24" w:color="auto"/>
          </w:pgBorders>
          <w:cols w:space="939"/>
        </w:sectPr>
      </w:pPr>
      <w:r>
        <w:t>Grading Criteri</w:t>
      </w:r>
      <w:r w:rsidR="007C1582">
        <w:t>a</w:t>
      </w:r>
    </w:p>
    <w:p w14:paraId="0483A750" w14:textId="6BF9D6EF" w:rsidR="00E83785" w:rsidRDefault="00E83785" w:rsidP="0074669D">
      <w:pPr>
        <w:pStyle w:val="Heading2"/>
        <w:snapToGrid w:val="0"/>
        <w:spacing w:before="0"/>
        <w:contextualSpacing/>
        <w:sectPr w:rsidR="00E83785" w:rsidSect="00E05A6C">
          <w:type w:val="continuous"/>
          <w:pgSz w:w="12240" w:h="15840"/>
          <w:pgMar w:top="800" w:right="600" w:bottom="280" w:left="620" w:header="720" w:footer="720" w:gutter="0"/>
          <w:pgBorders w:offsetFrom="page">
            <w:top w:val="single" w:sz="8" w:space="24" w:color="auto"/>
            <w:left w:val="single" w:sz="8" w:space="24" w:color="auto"/>
            <w:bottom w:val="single" w:sz="8" w:space="24" w:color="auto"/>
            <w:right w:val="single" w:sz="8" w:space="24" w:color="auto"/>
          </w:pgBorders>
          <w:cols w:num="2" w:space="720" w:equalWidth="0">
            <w:col w:w="4821" w:space="939"/>
            <w:col w:w="5260"/>
          </w:cols>
        </w:sectPr>
      </w:pPr>
    </w:p>
    <w:p w14:paraId="0543B236" w14:textId="2F9ADE8B" w:rsidR="00E83785" w:rsidRDefault="00E83785" w:rsidP="0074669D">
      <w:pPr>
        <w:snapToGrid w:val="0"/>
        <w:contextualSpacing/>
      </w:pPr>
      <w:r w:rsidRPr="00E11378">
        <w:rPr>
          <w:b/>
          <w:bCs/>
        </w:rPr>
        <w:t>Lessons</w:t>
      </w:r>
      <w:r>
        <w:t xml:space="preserve"> – 35%</w:t>
      </w:r>
    </w:p>
    <w:p w14:paraId="27535490" w14:textId="77777777" w:rsidR="00E11378" w:rsidRDefault="00E11378" w:rsidP="00E83785"/>
    <w:p w14:paraId="63584EDD" w14:textId="385CFDF6" w:rsidR="00E83785" w:rsidRDefault="00E83785" w:rsidP="00E83785">
      <w:r w:rsidRPr="00E11378">
        <w:rPr>
          <w:b/>
          <w:bCs/>
        </w:rPr>
        <w:t>Unit Exam</w:t>
      </w:r>
      <w:r w:rsidR="00405F64">
        <w:rPr>
          <w:b/>
          <w:bCs/>
        </w:rPr>
        <w:t>s &amp; College Algebra Final</w:t>
      </w:r>
      <w:r>
        <w:t xml:space="preserve"> – 25%; This includes your MATH 1110 Grades from Chapters 5 and 6 plus MATH 1110 Final. Note: the number of scores will depend on your MATH 1110 course. Some students may have only had a midterm and final, others may have had additional exams.</w:t>
      </w:r>
    </w:p>
    <w:p w14:paraId="4EB17345" w14:textId="7A36D302" w:rsidR="00E83785" w:rsidRDefault="00E83785" w:rsidP="00E83785"/>
    <w:p w14:paraId="2449E4CC" w14:textId="3066AF1B" w:rsidR="00E83785" w:rsidRDefault="00E83785" w:rsidP="00E83785">
      <w:r>
        <w:t xml:space="preserve">For </w:t>
      </w:r>
      <w:r w:rsidRPr="00E87927">
        <w:rPr>
          <w:i/>
          <w:iCs/>
        </w:rPr>
        <w:t>all</w:t>
      </w:r>
      <w:r>
        <w:t xml:space="preserve"> students, this </w:t>
      </w:r>
      <w:r w:rsidR="00B43029">
        <w:t>portion</w:t>
      </w:r>
      <w:r w:rsidR="00F26D1F">
        <w:t xml:space="preserve"> includes</w:t>
      </w:r>
      <w:r>
        <w:t xml:space="preserve"> the Chapter 7 Exam </w:t>
      </w:r>
      <w:r w:rsidR="007C664A">
        <w:t xml:space="preserve">in MATH 1115 </w:t>
      </w:r>
    </w:p>
    <w:p w14:paraId="00B2D19F" w14:textId="77777777" w:rsidR="00E83785" w:rsidRDefault="00E83785" w:rsidP="00E83785"/>
    <w:p w14:paraId="254CC6A0" w14:textId="12E88E28" w:rsidR="00E83785" w:rsidRDefault="00E83785" w:rsidP="00654FCB">
      <w:r w:rsidRPr="00E11378">
        <w:rPr>
          <w:b/>
          <w:bCs/>
        </w:rPr>
        <w:t>Final Exam</w:t>
      </w:r>
      <w:r w:rsidR="00E11378">
        <w:rPr>
          <w:b/>
          <w:bCs/>
        </w:rPr>
        <w:t xml:space="preserve"> for </w:t>
      </w:r>
      <w:r w:rsidR="007C664A">
        <w:rPr>
          <w:b/>
          <w:bCs/>
        </w:rPr>
        <w:t>Pre-calculus</w:t>
      </w:r>
      <w:r>
        <w:t xml:space="preserve"> – 40%</w:t>
      </w:r>
    </w:p>
    <w:p w14:paraId="1C4C4117" w14:textId="77777777" w:rsidR="00E83785" w:rsidRDefault="00E83785" w:rsidP="00E83785">
      <w:pPr>
        <w:tabs>
          <w:tab w:val="left" w:pos="322"/>
        </w:tabs>
        <w:spacing w:before="23"/>
      </w:pPr>
    </w:p>
    <w:p w14:paraId="6E2EC867" w14:textId="2BD1B5BD" w:rsidR="00E83785" w:rsidRDefault="00E83785" w:rsidP="00E83785">
      <w:pPr>
        <w:pStyle w:val="Heading2"/>
      </w:pPr>
      <w:r>
        <w:t>Testing Policy:</w:t>
      </w:r>
    </w:p>
    <w:p w14:paraId="7BC6F5E4" w14:textId="77777777" w:rsidR="004011B6" w:rsidRDefault="004011B6" w:rsidP="004011B6">
      <w:r>
        <w:t xml:space="preserve">For the </w:t>
      </w:r>
      <w:r w:rsidR="00E83785">
        <w:t>Unit 5 exam on Chapter 7, please schedule this with a tutor using Navigate. Be sure to note in your appointment that you will be taking a Pre-calculus test in My Open Math. The Math Zone staff should have the password</w:t>
      </w:r>
      <w:r w:rsidR="00654FCB">
        <w:t>s.</w:t>
      </w:r>
      <w:r>
        <w:t xml:space="preserve"> For the MATH 1115 final, plan to take it with your MATH 1110 class final. Confirm with your instructo</w:t>
      </w:r>
      <w:r w:rsidR="00405F64">
        <w:t>r.</w:t>
      </w:r>
    </w:p>
    <w:p w14:paraId="28B790F1" w14:textId="77777777" w:rsidR="007C1582" w:rsidRDefault="007C1582" w:rsidP="004011B6"/>
    <w:p w14:paraId="2A1FE59E" w14:textId="72FBE787" w:rsidR="007C1582" w:rsidRDefault="0078127E" w:rsidP="0078127E">
      <w:pPr>
        <w:pStyle w:val="Heading2"/>
      </w:pPr>
      <w:r>
        <w:t>Final Grade in Banner</w:t>
      </w:r>
    </w:p>
    <w:p w14:paraId="61B95624" w14:textId="3BF1F501" w:rsidR="007C1582" w:rsidRPr="00E83785" w:rsidRDefault="007C1582" w:rsidP="004011B6">
      <w:pPr>
        <w:sectPr w:rsidR="007C1582" w:rsidRPr="00E83785" w:rsidSect="00E83785">
          <w:type w:val="continuous"/>
          <w:pgSz w:w="12240" w:h="15840"/>
          <w:pgMar w:top="800" w:right="600" w:bottom="280" w:left="620" w:header="720" w:footer="720" w:gutter="0"/>
          <w:pgBorders w:offsetFrom="page">
            <w:top w:val="single" w:sz="8" w:space="24" w:color="auto"/>
            <w:left w:val="single" w:sz="8" w:space="24" w:color="auto"/>
            <w:bottom w:val="single" w:sz="8" w:space="24" w:color="auto"/>
            <w:right w:val="single" w:sz="8" w:space="24" w:color="auto"/>
          </w:pgBorders>
          <w:cols w:space="939"/>
        </w:sectPr>
      </w:pPr>
      <w:r>
        <w:t xml:space="preserve">Upon successful completion of the above criteria, </w:t>
      </w:r>
      <w:proofErr w:type="gramStart"/>
      <w:r>
        <w:t>i.e.</w:t>
      </w:r>
      <w:proofErr w:type="gramEnd"/>
      <w:r>
        <w:t xml:space="preserve"> an overall grade of 73% or higher, your course enrollment in Banner will be changed to MATH 1115 and a final grade will be assigned accordingly. If successful, you will not have MATH 1110 on your transcrip</w:t>
      </w:r>
      <w:r w:rsidR="003D5514">
        <w:t>t.</w:t>
      </w:r>
    </w:p>
    <w:p w14:paraId="4CAC215B" w14:textId="0D6CA6EB" w:rsidR="00E83785" w:rsidRDefault="00E83785" w:rsidP="00E83785">
      <w:pPr>
        <w:tabs>
          <w:tab w:val="left" w:pos="322"/>
        </w:tabs>
        <w:spacing w:before="23"/>
        <w:sectPr w:rsidR="00E83785" w:rsidSect="00E83785">
          <w:type w:val="continuous"/>
          <w:pgSz w:w="12240" w:h="15840"/>
          <w:pgMar w:top="800" w:right="600" w:bottom="280" w:left="620" w:header="720" w:footer="720" w:gutter="0"/>
          <w:pgBorders w:offsetFrom="page">
            <w:top w:val="single" w:sz="8" w:space="24" w:color="auto"/>
            <w:left w:val="single" w:sz="8" w:space="24" w:color="auto"/>
            <w:bottom w:val="single" w:sz="8" w:space="24" w:color="auto"/>
            <w:right w:val="single" w:sz="8" w:space="24" w:color="auto"/>
          </w:pgBorders>
          <w:cols w:space="939"/>
        </w:sectPr>
      </w:pPr>
    </w:p>
    <w:p w14:paraId="2037F2E8" w14:textId="77777777" w:rsidR="002A46EC" w:rsidRDefault="002A46EC"/>
    <w:sectPr w:rsidR="002A4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8BE"/>
    <w:multiLevelType w:val="hybridMultilevel"/>
    <w:tmpl w:val="703C4BC0"/>
    <w:lvl w:ilvl="0" w:tplc="022C9324">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35173"/>
    <w:multiLevelType w:val="hybridMultilevel"/>
    <w:tmpl w:val="04FCAA06"/>
    <w:lvl w:ilvl="0" w:tplc="3B521766">
      <w:start w:val="1"/>
      <w:numFmt w:val="decimal"/>
      <w:lvlText w:val="%1."/>
      <w:lvlJc w:val="left"/>
      <w:pPr>
        <w:ind w:left="321" w:hanging="217"/>
      </w:pPr>
      <w:rPr>
        <w:rFonts w:ascii="Arial" w:eastAsia="Arial" w:hAnsi="Arial" w:cs="Arial" w:hint="default"/>
        <w:b w:val="0"/>
        <w:bCs w:val="0"/>
        <w:i w:val="0"/>
        <w:iCs w:val="0"/>
        <w:spacing w:val="-1"/>
        <w:w w:val="91"/>
        <w:sz w:val="22"/>
        <w:szCs w:val="22"/>
      </w:rPr>
    </w:lvl>
    <w:lvl w:ilvl="1" w:tplc="29CE196C">
      <w:start w:val="1"/>
      <w:numFmt w:val="decimal"/>
      <w:lvlText w:val="%2."/>
      <w:lvlJc w:val="left"/>
      <w:pPr>
        <w:ind w:left="867" w:hanging="403"/>
      </w:pPr>
      <w:rPr>
        <w:rFonts w:ascii="Arial" w:eastAsia="Arial" w:hAnsi="Arial" w:cs="Arial" w:hint="default"/>
        <w:b w:val="0"/>
        <w:bCs w:val="0"/>
        <w:i w:val="0"/>
        <w:iCs w:val="0"/>
        <w:spacing w:val="-1"/>
        <w:w w:val="91"/>
        <w:sz w:val="22"/>
        <w:szCs w:val="22"/>
      </w:rPr>
    </w:lvl>
    <w:lvl w:ilvl="2" w:tplc="97AAC986">
      <w:numFmt w:val="bullet"/>
      <w:lvlText w:val="•"/>
      <w:lvlJc w:val="left"/>
      <w:pPr>
        <w:ind w:left="1300" w:hanging="403"/>
      </w:pPr>
      <w:rPr>
        <w:rFonts w:hint="default"/>
      </w:rPr>
    </w:lvl>
    <w:lvl w:ilvl="3" w:tplc="C7F8FDB6">
      <w:numFmt w:val="bullet"/>
      <w:lvlText w:val="•"/>
      <w:lvlJc w:val="left"/>
      <w:pPr>
        <w:ind w:left="1740" w:hanging="403"/>
      </w:pPr>
      <w:rPr>
        <w:rFonts w:hint="default"/>
      </w:rPr>
    </w:lvl>
    <w:lvl w:ilvl="4" w:tplc="DBB6605A">
      <w:numFmt w:val="bullet"/>
      <w:lvlText w:val="•"/>
      <w:lvlJc w:val="left"/>
      <w:pPr>
        <w:ind w:left="2180" w:hanging="403"/>
      </w:pPr>
      <w:rPr>
        <w:rFonts w:hint="default"/>
      </w:rPr>
    </w:lvl>
    <w:lvl w:ilvl="5" w:tplc="CE68E32E">
      <w:numFmt w:val="bullet"/>
      <w:lvlText w:val="•"/>
      <w:lvlJc w:val="left"/>
      <w:pPr>
        <w:ind w:left="2620" w:hanging="403"/>
      </w:pPr>
      <w:rPr>
        <w:rFonts w:hint="default"/>
      </w:rPr>
    </w:lvl>
    <w:lvl w:ilvl="6" w:tplc="E254714A">
      <w:numFmt w:val="bullet"/>
      <w:lvlText w:val="•"/>
      <w:lvlJc w:val="left"/>
      <w:pPr>
        <w:ind w:left="3060" w:hanging="403"/>
      </w:pPr>
      <w:rPr>
        <w:rFonts w:hint="default"/>
      </w:rPr>
    </w:lvl>
    <w:lvl w:ilvl="7" w:tplc="C44C31CC">
      <w:numFmt w:val="bullet"/>
      <w:lvlText w:val="•"/>
      <w:lvlJc w:val="left"/>
      <w:pPr>
        <w:ind w:left="3500" w:hanging="403"/>
      </w:pPr>
      <w:rPr>
        <w:rFonts w:hint="default"/>
      </w:rPr>
    </w:lvl>
    <w:lvl w:ilvl="8" w:tplc="E33AE4F0">
      <w:numFmt w:val="bullet"/>
      <w:lvlText w:val="•"/>
      <w:lvlJc w:val="left"/>
      <w:pPr>
        <w:ind w:left="3940" w:hanging="403"/>
      </w:pPr>
      <w:rPr>
        <w:rFonts w:hint="default"/>
      </w:rPr>
    </w:lvl>
  </w:abstractNum>
  <w:num w:numId="1" w16cid:durableId="385420085">
    <w:abstractNumId w:val="1"/>
  </w:num>
  <w:num w:numId="2" w16cid:durableId="128800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85"/>
    <w:rsid w:val="002A46EC"/>
    <w:rsid w:val="00335EF9"/>
    <w:rsid w:val="003A7B72"/>
    <w:rsid w:val="003D5514"/>
    <w:rsid w:val="004011B6"/>
    <w:rsid w:val="00405F64"/>
    <w:rsid w:val="00412012"/>
    <w:rsid w:val="004563DE"/>
    <w:rsid w:val="005144D0"/>
    <w:rsid w:val="00654FCB"/>
    <w:rsid w:val="0074669D"/>
    <w:rsid w:val="0078127E"/>
    <w:rsid w:val="007C1582"/>
    <w:rsid w:val="007C664A"/>
    <w:rsid w:val="008C4DBF"/>
    <w:rsid w:val="00B43029"/>
    <w:rsid w:val="00D50E15"/>
    <w:rsid w:val="00DD5AD3"/>
    <w:rsid w:val="00E11378"/>
    <w:rsid w:val="00E83785"/>
    <w:rsid w:val="00E87927"/>
    <w:rsid w:val="00F26D1F"/>
    <w:rsid w:val="00F8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35F4"/>
  <w15:chartTrackingRefBased/>
  <w15:docId w15:val="{1A8D0CC5-8F03-4144-84B5-39D8F6F4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85"/>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E83785"/>
    <w:pPr>
      <w:ind w:left="104"/>
      <w:outlineLvl w:val="0"/>
    </w:pPr>
    <w:rPr>
      <w:b/>
      <w:bCs/>
      <w:sz w:val="26"/>
      <w:szCs w:val="26"/>
    </w:rPr>
  </w:style>
  <w:style w:type="paragraph" w:styleId="Heading2">
    <w:name w:val="heading 2"/>
    <w:basedOn w:val="Normal"/>
    <w:next w:val="Normal"/>
    <w:link w:val="Heading2Char"/>
    <w:uiPriority w:val="9"/>
    <w:unhideWhenUsed/>
    <w:qFormat/>
    <w:rsid w:val="00E837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E83785"/>
    <w:pPr>
      <w:spacing w:before="16"/>
      <w:ind w:left="10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785"/>
    <w:rPr>
      <w:rFonts w:ascii="Arial" w:eastAsia="Arial" w:hAnsi="Arial" w:cs="Arial"/>
      <w:b/>
      <w:bCs/>
      <w:sz w:val="26"/>
      <w:szCs w:val="26"/>
    </w:rPr>
  </w:style>
  <w:style w:type="character" w:customStyle="1" w:styleId="Heading3Char">
    <w:name w:val="Heading 3 Char"/>
    <w:basedOn w:val="DefaultParagraphFont"/>
    <w:link w:val="Heading3"/>
    <w:uiPriority w:val="9"/>
    <w:rsid w:val="00E83785"/>
    <w:rPr>
      <w:rFonts w:ascii="Arial" w:eastAsia="Arial" w:hAnsi="Arial" w:cs="Arial"/>
      <w:b/>
      <w:bCs/>
      <w:sz w:val="22"/>
      <w:szCs w:val="22"/>
    </w:rPr>
  </w:style>
  <w:style w:type="paragraph" w:styleId="ListParagraph">
    <w:name w:val="List Paragraph"/>
    <w:basedOn w:val="Normal"/>
    <w:uiPriority w:val="1"/>
    <w:qFormat/>
    <w:rsid w:val="00E83785"/>
    <w:pPr>
      <w:spacing w:before="16"/>
      <w:ind w:left="824" w:hanging="361"/>
    </w:pPr>
  </w:style>
  <w:style w:type="character" w:customStyle="1" w:styleId="Heading2Char">
    <w:name w:val="Heading 2 Char"/>
    <w:basedOn w:val="DefaultParagraphFont"/>
    <w:link w:val="Heading2"/>
    <w:uiPriority w:val="9"/>
    <w:rsid w:val="00E83785"/>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335EF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35EF9"/>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771B-B309-5540-9D90-4D0115CB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 Yevgeniya</dc:creator>
  <cp:keywords/>
  <dc:description/>
  <cp:lastModifiedBy>Rivers, Yevgeniya</cp:lastModifiedBy>
  <cp:revision>22</cp:revision>
  <dcterms:created xsi:type="dcterms:W3CDTF">2022-11-16T15:36:00Z</dcterms:created>
  <dcterms:modified xsi:type="dcterms:W3CDTF">2023-01-15T22:43:00Z</dcterms:modified>
</cp:coreProperties>
</file>