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215C4" w14:textId="2661A81B" w:rsidR="00FA79E8" w:rsidRPr="00C546F6" w:rsidRDefault="00C460FC" w:rsidP="00C546F6">
      <w:pPr>
        <w:jc w:val="center"/>
        <w:rPr>
          <w:b/>
          <w:color w:val="365F91" w:themeColor="accent1" w:themeShade="BF"/>
          <w:sz w:val="40"/>
          <w:szCs w:val="40"/>
        </w:rPr>
      </w:pPr>
      <w:r w:rsidRPr="00C546F6">
        <w:rPr>
          <w:rFonts w:ascii="Times New Roman" w:hAnsi="Times New Roman" w:cs="Times New Roman"/>
          <w:b/>
          <w:i/>
          <w:color w:val="365F91" w:themeColor="accent1" w:themeShade="BF"/>
          <w:sz w:val="40"/>
          <w:szCs w:val="40"/>
        </w:rPr>
        <w:t>Human Resources Polic</w:t>
      </w:r>
      <w:r w:rsidR="00171A8A" w:rsidRPr="00C546F6">
        <w:rPr>
          <w:rFonts w:ascii="Times New Roman" w:hAnsi="Times New Roman" w:cs="Times New Roman"/>
          <w:b/>
          <w:i/>
          <w:color w:val="365F91" w:themeColor="accent1" w:themeShade="BF"/>
          <w:sz w:val="40"/>
          <w:szCs w:val="40"/>
        </w:rPr>
        <w:t>y / Procedure</w:t>
      </w:r>
    </w:p>
    <w:tbl>
      <w:tblPr>
        <w:tblStyle w:val="TableGrid"/>
        <w:tblW w:w="10400" w:type="dxa"/>
        <w:tblLook w:val="04A0" w:firstRow="1" w:lastRow="0" w:firstColumn="1" w:lastColumn="0" w:noHBand="0" w:noVBand="1"/>
      </w:tblPr>
      <w:tblGrid>
        <w:gridCol w:w="1885"/>
        <w:gridCol w:w="1806"/>
        <w:gridCol w:w="2244"/>
        <w:gridCol w:w="1507"/>
        <w:gridCol w:w="1651"/>
        <w:gridCol w:w="1307"/>
      </w:tblGrid>
      <w:tr w:rsidR="00171A8A" w:rsidRPr="00AE00D6" w14:paraId="3BF201A5" w14:textId="77777777" w:rsidTr="00B92835">
        <w:trPr>
          <w:trHeight w:val="379"/>
        </w:trPr>
        <w:tc>
          <w:tcPr>
            <w:tcW w:w="1885" w:type="dxa"/>
          </w:tcPr>
          <w:p w14:paraId="0E39B0AF" w14:textId="77777777" w:rsidR="00171A8A" w:rsidRDefault="00171A8A" w:rsidP="00FA79E8">
            <w:pPr>
              <w:pStyle w:val="Heading2"/>
              <w:rPr>
                <w:color w:val="365F91" w:themeColor="accent1" w:themeShade="BF"/>
              </w:rPr>
            </w:pPr>
            <w:r w:rsidRPr="006C76C0">
              <w:rPr>
                <w:color w:val="365F91" w:themeColor="accent1" w:themeShade="BF"/>
              </w:rPr>
              <w:t xml:space="preserve">Policy </w:t>
            </w:r>
            <w:r>
              <w:rPr>
                <w:color w:val="365F91" w:themeColor="accent1" w:themeShade="BF"/>
              </w:rPr>
              <w:t>/ Procedure</w:t>
            </w:r>
          </w:p>
          <w:p w14:paraId="563BF10E" w14:textId="77777777" w:rsidR="00171A8A" w:rsidRPr="006C76C0" w:rsidRDefault="00171A8A" w:rsidP="00171A8A">
            <w:pPr>
              <w:pStyle w:val="Heading2"/>
              <w:rPr>
                <w:color w:val="365F91" w:themeColor="accent1" w:themeShade="BF"/>
              </w:rPr>
            </w:pPr>
            <w:r>
              <w:rPr>
                <w:color w:val="365F91" w:themeColor="accent1" w:themeShade="BF"/>
              </w:rPr>
              <w:t>Title</w:t>
            </w:r>
          </w:p>
        </w:tc>
        <w:tc>
          <w:tcPr>
            <w:tcW w:w="1806" w:type="dxa"/>
          </w:tcPr>
          <w:p w14:paraId="549B8ADD" w14:textId="77777777" w:rsidR="00171A8A" w:rsidRPr="006C76C0" w:rsidRDefault="00171A8A" w:rsidP="00FA79E8">
            <w:pPr>
              <w:pStyle w:val="Heading2"/>
              <w:rPr>
                <w:color w:val="365F91" w:themeColor="accent1" w:themeShade="BF"/>
              </w:rPr>
            </w:pPr>
            <w:r>
              <w:rPr>
                <w:color w:val="365F91" w:themeColor="accent1" w:themeShade="BF"/>
              </w:rPr>
              <w:t>Applicability / Scope</w:t>
            </w:r>
          </w:p>
        </w:tc>
        <w:tc>
          <w:tcPr>
            <w:tcW w:w="2244" w:type="dxa"/>
          </w:tcPr>
          <w:p w14:paraId="6E2B25E3" w14:textId="77777777" w:rsidR="00171A8A" w:rsidRPr="006C76C0" w:rsidRDefault="00171A8A" w:rsidP="00FA79E8">
            <w:pPr>
              <w:pStyle w:val="Heading2"/>
              <w:rPr>
                <w:color w:val="365F91" w:themeColor="accent1" w:themeShade="BF"/>
              </w:rPr>
            </w:pPr>
            <w:r>
              <w:rPr>
                <w:color w:val="365F91" w:themeColor="accent1" w:themeShade="BF"/>
              </w:rPr>
              <w:t>Purpose</w:t>
            </w:r>
          </w:p>
        </w:tc>
        <w:tc>
          <w:tcPr>
            <w:tcW w:w="1507" w:type="dxa"/>
          </w:tcPr>
          <w:p w14:paraId="08595AFF" w14:textId="77777777" w:rsidR="00171A8A" w:rsidRPr="006C76C0" w:rsidRDefault="00171A8A" w:rsidP="00FA79E8">
            <w:pPr>
              <w:pStyle w:val="Heading2"/>
              <w:rPr>
                <w:color w:val="365F91" w:themeColor="accent1" w:themeShade="BF"/>
              </w:rPr>
            </w:pPr>
            <w:r>
              <w:rPr>
                <w:color w:val="365F91" w:themeColor="accent1" w:themeShade="BF"/>
              </w:rPr>
              <w:t>Effective Date</w:t>
            </w:r>
          </w:p>
        </w:tc>
        <w:tc>
          <w:tcPr>
            <w:tcW w:w="1651" w:type="dxa"/>
          </w:tcPr>
          <w:p w14:paraId="6704A0E8" w14:textId="77777777" w:rsidR="00171A8A" w:rsidRPr="006C76C0" w:rsidRDefault="00171A8A" w:rsidP="00FA79E8">
            <w:pPr>
              <w:pStyle w:val="Heading2"/>
              <w:rPr>
                <w:color w:val="365F91" w:themeColor="accent1" w:themeShade="BF"/>
              </w:rPr>
            </w:pPr>
            <w:r>
              <w:rPr>
                <w:color w:val="365F91" w:themeColor="accent1" w:themeShade="BF"/>
              </w:rPr>
              <w:t>Responsible Party</w:t>
            </w:r>
          </w:p>
        </w:tc>
        <w:tc>
          <w:tcPr>
            <w:tcW w:w="1307" w:type="dxa"/>
          </w:tcPr>
          <w:p w14:paraId="379DCDEE" w14:textId="77777777" w:rsidR="00171A8A" w:rsidRPr="006C76C0" w:rsidRDefault="00171A8A" w:rsidP="00FA79E8">
            <w:pPr>
              <w:pStyle w:val="Heading2"/>
              <w:rPr>
                <w:color w:val="365F91" w:themeColor="accent1" w:themeShade="BF"/>
              </w:rPr>
            </w:pPr>
            <w:r w:rsidRPr="006C76C0">
              <w:rPr>
                <w:color w:val="365F91" w:themeColor="accent1" w:themeShade="BF"/>
              </w:rPr>
              <w:t>Pages</w:t>
            </w:r>
          </w:p>
        </w:tc>
      </w:tr>
      <w:tr w:rsidR="00171A8A" w14:paraId="6F01E542" w14:textId="77777777" w:rsidTr="00B92835">
        <w:trPr>
          <w:trHeight w:val="517"/>
        </w:trPr>
        <w:tc>
          <w:tcPr>
            <w:tcW w:w="1885" w:type="dxa"/>
          </w:tcPr>
          <w:p w14:paraId="4E35FD25" w14:textId="439D067C" w:rsidR="00171A8A" w:rsidRPr="00FD58FA" w:rsidRDefault="00E3116C" w:rsidP="00FA79E8">
            <w:pPr>
              <w:pStyle w:val="Heading2"/>
              <w:rPr>
                <w:rFonts w:ascii="Calibri" w:hAnsi="Calibri" w:cs="Calibri"/>
                <w:color w:val="auto"/>
                <w:sz w:val="20"/>
                <w:szCs w:val="20"/>
              </w:rPr>
            </w:pPr>
            <w:r>
              <w:rPr>
                <w:rFonts w:ascii="Calibri" w:hAnsi="Calibri" w:cs="Calibri"/>
                <w:color w:val="auto"/>
                <w:sz w:val="20"/>
                <w:szCs w:val="20"/>
              </w:rPr>
              <w:t>Tenured Faculty Voluntary Phased Retirement Plan (TF</w:t>
            </w:r>
            <w:r w:rsidR="00B92835">
              <w:rPr>
                <w:rFonts w:ascii="Calibri" w:hAnsi="Calibri" w:cs="Calibri"/>
                <w:color w:val="auto"/>
                <w:sz w:val="20"/>
                <w:szCs w:val="20"/>
              </w:rPr>
              <w:t>PRP)</w:t>
            </w:r>
          </w:p>
        </w:tc>
        <w:tc>
          <w:tcPr>
            <w:tcW w:w="1806" w:type="dxa"/>
          </w:tcPr>
          <w:p w14:paraId="083D44FE" w14:textId="31C140AC" w:rsidR="00171A8A" w:rsidRPr="00FD58FA" w:rsidRDefault="00D907B1" w:rsidP="00FA79E8">
            <w:pPr>
              <w:pStyle w:val="Heading2"/>
              <w:rPr>
                <w:rFonts w:ascii="Calibri" w:hAnsi="Calibri" w:cs="Calibri"/>
                <w:color w:val="auto"/>
                <w:sz w:val="20"/>
                <w:szCs w:val="20"/>
              </w:rPr>
            </w:pPr>
            <w:r>
              <w:rPr>
                <w:rFonts w:ascii="Calibri" w:hAnsi="Calibri" w:cs="Calibri"/>
                <w:color w:val="auto"/>
                <w:sz w:val="20"/>
                <w:szCs w:val="20"/>
              </w:rPr>
              <w:t>Tenured Faculty</w:t>
            </w:r>
          </w:p>
        </w:tc>
        <w:tc>
          <w:tcPr>
            <w:tcW w:w="2244" w:type="dxa"/>
          </w:tcPr>
          <w:p w14:paraId="318C81DE" w14:textId="335237CE" w:rsidR="00171A8A" w:rsidRPr="00FD58FA" w:rsidRDefault="00DF0CE6" w:rsidP="00171A8A">
            <w:pPr>
              <w:pStyle w:val="Heading2"/>
              <w:rPr>
                <w:rFonts w:ascii="Calibri" w:hAnsi="Calibri" w:cs="Calibri"/>
                <w:color w:val="auto"/>
                <w:sz w:val="20"/>
                <w:szCs w:val="20"/>
              </w:rPr>
            </w:pPr>
            <w:r>
              <w:rPr>
                <w:rFonts w:ascii="Calibri" w:hAnsi="Calibri" w:cs="Calibri"/>
                <w:color w:val="auto"/>
                <w:sz w:val="20"/>
                <w:szCs w:val="20"/>
              </w:rPr>
              <w:t xml:space="preserve">Guidelines related to </w:t>
            </w:r>
            <w:r w:rsidR="00B92835">
              <w:rPr>
                <w:rFonts w:ascii="Calibri" w:hAnsi="Calibri" w:cs="Calibri"/>
                <w:color w:val="auto"/>
                <w:sz w:val="20"/>
                <w:szCs w:val="20"/>
              </w:rPr>
              <w:t>phased retirement options for eligible tenured faculty members</w:t>
            </w:r>
          </w:p>
        </w:tc>
        <w:tc>
          <w:tcPr>
            <w:tcW w:w="1507" w:type="dxa"/>
          </w:tcPr>
          <w:p w14:paraId="765EE0F6" w14:textId="08036E8B" w:rsidR="00171A8A" w:rsidRPr="00FD58FA" w:rsidRDefault="00D907B1" w:rsidP="007A212D">
            <w:pPr>
              <w:pStyle w:val="Heading2"/>
              <w:rPr>
                <w:rFonts w:ascii="Calibri" w:hAnsi="Calibri" w:cs="Calibri"/>
                <w:color w:val="auto"/>
                <w:sz w:val="20"/>
                <w:szCs w:val="20"/>
              </w:rPr>
            </w:pPr>
            <w:r>
              <w:rPr>
                <w:rFonts w:ascii="Calibri" w:hAnsi="Calibri" w:cs="Calibri"/>
                <w:color w:val="auto"/>
                <w:sz w:val="20"/>
                <w:szCs w:val="20"/>
              </w:rPr>
              <w:t>3/1/2025</w:t>
            </w:r>
          </w:p>
        </w:tc>
        <w:tc>
          <w:tcPr>
            <w:tcW w:w="1651" w:type="dxa"/>
          </w:tcPr>
          <w:p w14:paraId="30E929DD" w14:textId="7433A8CF" w:rsidR="00171A8A" w:rsidRDefault="00171A8A" w:rsidP="00FA79E8">
            <w:pPr>
              <w:pStyle w:val="Heading2"/>
              <w:rPr>
                <w:rFonts w:ascii="Calibri" w:hAnsi="Calibri" w:cs="Calibri"/>
                <w:color w:val="auto"/>
                <w:sz w:val="20"/>
                <w:szCs w:val="20"/>
              </w:rPr>
            </w:pPr>
            <w:r>
              <w:rPr>
                <w:rFonts w:ascii="Calibri" w:hAnsi="Calibri" w:cs="Calibri"/>
                <w:color w:val="auto"/>
                <w:sz w:val="20"/>
                <w:szCs w:val="20"/>
              </w:rPr>
              <w:t>Vice President Human Resources</w:t>
            </w:r>
            <w:r w:rsidR="00705B27">
              <w:rPr>
                <w:rFonts w:ascii="Calibri" w:hAnsi="Calibri" w:cs="Calibri"/>
                <w:color w:val="auto"/>
                <w:sz w:val="20"/>
                <w:szCs w:val="20"/>
              </w:rPr>
              <w:t xml:space="preserve"> </w:t>
            </w:r>
          </w:p>
        </w:tc>
        <w:tc>
          <w:tcPr>
            <w:tcW w:w="1307" w:type="dxa"/>
          </w:tcPr>
          <w:p w14:paraId="7BF7DDB8" w14:textId="67FA1567" w:rsidR="00171A8A" w:rsidRPr="00FD58FA" w:rsidRDefault="00886FDD" w:rsidP="00FA79E8">
            <w:pPr>
              <w:pStyle w:val="Heading2"/>
              <w:rPr>
                <w:rFonts w:ascii="Calibri" w:hAnsi="Calibri" w:cs="Calibri"/>
                <w:color w:val="auto"/>
                <w:sz w:val="20"/>
                <w:szCs w:val="20"/>
              </w:rPr>
            </w:pPr>
            <w:r>
              <w:rPr>
                <w:rFonts w:ascii="Calibri" w:hAnsi="Calibri" w:cs="Calibri"/>
                <w:color w:val="auto"/>
                <w:sz w:val="20"/>
                <w:szCs w:val="20"/>
              </w:rPr>
              <w:t>3</w:t>
            </w:r>
          </w:p>
        </w:tc>
      </w:tr>
    </w:tbl>
    <w:p w14:paraId="14EB167F" w14:textId="77777777" w:rsidR="00954AF4" w:rsidRDefault="00954AF4" w:rsidP="00954AF4">
      <w:pPr>
        <w:spacing w:after="0" w:line="240" w:lineRule="auto"/>
        <w:rPr>
          <w:rFonts w:ascii="Calibri" w:hAnsi="Calibri" w:cs="Calibri"/>
          <w:sz w:val="22"/>
          <w:szCs w:val="22"/>
        </w:rPr>
      </w:pPr>
    </w:p>
    <w:p w14:paraId="3F5BBBB6" w14:textId="3C7AF211" w:rsidR="008E3E22" w:rsidRPr="008E3E22" w:rsidRDefault="00134190" w:rsidP="008E3E22">
      <w:pPr>
        <w:shd w:val="clear" w:color="auto" w:fill="FFFFFF"/>
        <w:spacing w:after="240" w:line="240" w:lineRule="auto"/>
        <w:rPr>
          <w:rFonts w:ascii="Calibri" w:eastAsia="Times New Roman" w:hAnsi="Calibri" w:cs="Calibri"/>
          <w:color w:val="222222"/>
          <w:sz w:val="22"/>
          <w:szCs w:val="22"/>
        </w:rPr>
      </w:pPr>
      <w:r w:rsidRPr="008E3E22">
        <w:rPr>
          <w:rFonts w:ascii="Calibri" w:hAnsi="Calibri" w:cs="Calibri"/>
          <w:bCs/>
          <w:sz w:val="22"/>
          <w:szCs w:val="22"/>
        </w:rPr>
        <w:br/>
      </w:r>
      <w:r w:rsidR="008E3E22" w:rsidRPr="008E3E22">
        <w:rPr>
          <w:rFonts w:ascii="Calibri" w:eastAsia="Times New Roman" w:hAnsi="Calibri" w:cs="Calibri"/>
          <w:color w:val="222222"/>
          <w:sz w:val="22"/>
          <w:szCs w:val="22"/>
        </w:rPr>
        <w:t xml:space="preserve">Eligible faculty with 10 or more years of tenured University of New Haven </w:t>
      </w:r>
      <w:r w:rsidR="00292131">
        <w:rPr>
          <w:rFonts w:ascii="Calibri" w:eastAsia="Times New Roman" w:hAnsi="Calibri" w:cs="Calibri"/>
          <w:color w:val="222222"/>
          <w:sz w:val="22"/>
          <w:szCs w:val="22"/>
        </w:rPr>
        <w:t xml:space="preserve">full time employment* </w:t>
      </w:r>
      <w:r w:rsidR="008E3E22" w:rsidRPr="008E3E22">
        <w:rPr>
          <w:rFonts w:ascii="Calibri" w:eastAsia="Times New Roman" w:hAnsi="Calibri" w:cs="Calibri"/>
          <w:color w:val="222222"/>
          <w:sz w:val="22"/>
          <w:szCs w:val="22"/>
        </w:rPr>
        <w:t>are offered a Faculty Voluntary Phased Retirement Plan (F</w:t>
      </w:r>
      <w:r w:rsidR="00330BFD">
        <w:rPr>
          <w:rFonts w:ascii="Calibri" w:eastAsia="Times New Roman" w:hAnsi="Calibri" w:cs="Calibri"/>
          <w:color w:val="222222"/>
          <w:sz w:val="22"/>
          <w:szCs w:val="22"/>
        </w:rPr>
        <w:t>V</w:t>
      </w:r>
      <w:r w:rsidR="008E3E22" w:rsidRPr="008E3E22">
        <w:rPr>
          <w:rFonts w:ascii="Calibri" w:eastAsia="Times New Roman" w:hAnsi="Calibri" w:cs="Calibri"/>
          <w:color w:val="222222"/>
          <w:sz w:val="22"/>
          <w:szCs w:val="22"/>
        </w:rPr>
        <w:t xml:space="preserve">PRP) to assist with transitioning to retirement status.  </w:t>
      </w:r>
    </w:p>
    <w:p w14:paraId="3D3D0A9C" w14:textId="77777777" w:rsidR="008E3E22" w:rsidRPr="008E3E22" w:rsidRDefault="008E3E22" w:rsidP="008E3E22">
      <w:pPr>
        <w:shd w:val="clear" w:color="auto" w:fill="FFFFFF"/>
        <w:spacing w:after="240" w:line="240" w:lineRule="auto"/>
        <w:rPr>
          <w:rFonts w:ascii="Calibri" w:eastAsia="Times New Roman" w:hAnsi="Calibri" w:cs="Calibri"/>
          <w:color w:val="222222"/>
          <w:sz w:val="22"/>
          <w:szCs w:val="22"/>
        </w:rPr>
      </w:pPr>
      <w:r w:rsidRPr="008E3E22">
        <w:rPr>
          <w:rFonts w:ascii="Calibri" w:eastAsia="Times New Roman" w:hAnsi="Calibri" w:cs="Calibri"/>
          <w:color w:val="222222"/>
          <w:sz w:val="22"/>
          <w:szCs w:val="22"/>
        </w:rPr>
        <w:t>Eligible faculty may apply to participate in this program beginning in the academic year following their 62</w:t>
      </w:r>
      <w:r w:rsidRPr="008E3E22">
        <w:rPr>
          <w:rFonts w:ascii="Calibri" w:eastAsia="Times New Roman" w:hAnsi="Calibri" w:cs="Calibri"/>
          <w:color w:val="222222"/>
          <w:sz w:val="22"/>
          <w:szCs w:val="22"/>
          <w:vertAlign w:val="superscript"/>
        </w:rPr>
        <w:t>nd</w:t>
      </w:r>
      <w:r w:rsidRPr="008E3E22">
        <w:rPr>
          <w:rFonts w:ascii="Calibri" w:eastAsia="Times New Roman" w:hAnsi="Calibri" w:cs="Calibri"/>
          <w:color w:val="222222"/>
          <w:sz w:val="22"/>
          <w:szCs w:val="22"/>
        </w:rPr>
        <w:t xml:space="preserve"> birthday, with an effective date of September 1 of that same calendar year.</w:t>
      </w:r>
    </w:p>
    <w:p w14:paraId="69CCE62D" w14:textId="77777777" w:rsidR="008E3E22" w:rsidRPr="008E3E22" w:rsidRDefault="008E3E22" w:rsidP="008E3E22">
      <w:pPr>
        <w:shd w:val="clear" w:color="auto" w:fill="FFFFFF"/>
        <w:spacing w:after="240" w:line="240" w:lineRule="auto"/>
        <w:rPr>
          <w:rFonts w:ascii="Calibri" w:eastAsia="Times New Roman" w:hAnsi="Calibri" w:cs="Calibri"/>
          <w:color w:val="222222"/>
          <w:sz w:val="22"/>
          <w:szCs w:val="22"/>
        </w:rPr>
      </w:pPr>
      <w:r w:rsidRPr="008E3E22">
        <w:rPr>
          <w:rFonts w:ascii="Calibri" w:eastAsia="Times New Roman" w:hAnsi="Calibri" w:cs="Calibri"/>
          <w:color w:val="222222"/>
          <w:sz w:val="22"/>
          <w:szCs w:val="22"/>
        </w:rPr>
        <w:t>Example:</w:t>
      </w:r>
    </w:p>
    <w:tbl>
      <w:tblPr>
        <w:tblStyle w:val="TableGrid"/>
        <w:tblW w:w="0" w:type="auto"/>
        <w:jc w:val="center"/>
        <w:tblLook w:val="04A0" w:firstRow="1" w:lastRow="0" w:firstColumn="1" w:lastColumn="0" w:noHBand="0" w:noVBand="1"/>
      </w:tblPr>
      <w:tblGrid>
        <w:gridCol w:w="3242"/>
        <w:gridCol w:w="3233"/>
      </w:tblGrid>
      <w:tr w:rsidR="008E3E22" w:rsidRPr="008E3E22" w14:paraId="00E14C78" w14:textId="77777777" w:rsidTr="00754CB4">
        <w:trPr>
          <w:jc w:val="center"/>
        </w:trPr>
        <w:tc>
          <w:tcPr>
            <w:tcW w:w="3242" w:type="dxa"/>
          </w:tcPr>
          <w:p w14:paraId="74A72E93" w14:textId="77777777" w:rsidR="008E3E22" w:rsidRPr="008E3E22" w:rsidRDefault="008E3E22" w:rsidP="00754CB4">
            <w:pPr>
              <w:spacing w:after="240"/>
              <w:jc w:val="center"/>
              <w:rPr>
                <w:rFonts w:ascii="Calibri" w:eastAsia="Times New Roman" w:hAnsi="Calibri" w:cs="Calibri"/>
                <w:b/>
                <w:bCs/>
                <w:color w:val="222222"/>
                <w:sz w:val="22"/>
                <w:szCs w:val="22"/>
                <w:u w:val="single"/>
              </w:rPr>
            </w:pPr>
            <w:r w:rsidRPr="008E3E22">
              <w:rPr>
                <w:rFonts w:ascii="Calibri" w:eastAsia="Times New Roman" w:hAnsi="Calibri" w:cs="Calibri"/>
                <w:b/>
                <w:bCs/>
                <w:color w:val="222222"/>
                <w:sz w:val="22"/>
                <w:szCs w:val="22"/>
                <w:u w:val="single"/>
              </w:rPr>
              <w:t>Date of Birth</w:t>
            </w:r>
          </w:p>
        </w:tc>
        <w:tc>
          <w:tcPr>
            <w:tcW w:w="3233" w:type="dxa"/>
          </w:tcPr>
          <w:p w14:paraId="4CB2C2A0" w14:textId="77777777" w:rsidR="008E3E22" w:rsidRPr="008E3E22" w:rsidRDefault="008E3E22" w:rsidP="00754CB4">
            <w:pPr>
              <w:spacing w:after="240"/>
              <w:jc w:val="center"/>
              <w:rPr>
                <w:rFonts w:ascii="Calibri" w:eastAsia="Times New Roman" w:hAnsi="Calibri" w:cs="Calibri"/>
                <w:b/>
                <w:bCs/>
                <w:color w:val="222222"/>
                <w:sz w:val="22"/>
                <w:szCs w:val="22"/>
                <w:u w:val="single"/>
              </w:rPr>
            </w:pPr>
            <w:r w:rsidRPr="008E3E22">
              <w:rPr>
                <w:rFonts w:ascii="Calibri" w:eastAsia="Times New Roman" w:hAnsi="Calibri" w:cs="Calibri"/>
                <w:b/>
                <w:bCs/>
                <w:color w:val="222222"/>
                <w:sz w:val="22"/>
                <w:szCs w:val="22"/>
                <w:u w:val="single"/>
              </w:rPr>
              <w:t>Eligibility</w:t>
            </w:r>
          </w:p>
        </w:tc>
      </w:tr>
      <w:tr w:rsidR="008E3E22" w:rsidRPr="008E3E22" w14:paraId="741B80D5" w14:textId="77777777" w:rsidTr="00754CB4">
        <w:trPr>
          <w:jc w:val="center"/>
        </w:trPr>
        <w:tc>
          <w:tcPr>
            <w:tcW w:w="3242" w:type="dxa"/>
          </w:tcPr>
          <w:p w14:paraId="5E3F50FD" w14:textId="77777777" w:rsidR="008E3E22" w:rsidRPr="008E3E22" w:rsidRDefault="008E3E22" w:rsidP="00754CB4">
            <w:pPr>
              <w:spacing w:after="240"/>
              <w:rPr>
                <w:rFonts w:ascii="Calibri" w:eastAsia="Times New Roman" w:hAnsi="Calibri" w:cs="Calibri"/>
                <w:color w:val="222222"/>
                <w:sz w:val="22"/>
                <w:szCs w:val="22"/>
              </w:rPr>
            </w:pPr>
            <w:r w:rsidRPr="008E3E22">
              <w:rPr>
                <w:rFonts w:ascii="Calibri" w:eastAsia="Times New Roman" w:hAnsi="Calibri" w:cs="Calibri"/>
                <w:color w:val="222222"/>
                <w:sz w:val="22"/>
                <w:szCs w:val="22"/>
              </w:rPr>
              <w:t>Prior to September 1, 1963</w:t>
            </w:r>
          </w:p>
        </w:tc>
        <w:tc>
          <w:tcPr>
            <w:tcW w:w="3233" w:type="dxa"/>
          </w:tcPr>
          <w:p w14:paraId="3E12D8FF" w14:textId="77777777" w:rsidR="008E3E22" w:rsidRPr="008E3E22" w:rsidRDefault="008E3E22" w:rsidP="00754CB4">
            <w:pPr>
              <w:spacing w:after="240"/>
              <w:rPr>
                <w:rFonts w:ascii="Calibri" w:eastAsia="Times New Roman" w:hAnsi="Calibri" w:cs="Calibri"/>
                <w:color w:val="222222"/>
                <w:sz w:val="22"/>
                <w:szCs w:val="22"/>
              </w:rPr>
            </w:pPr>
            <w:r w:rsidRPr="008E3E22">
              <w:rPr>
                <w:rFonts w:ascii="Calibri" w:eastAsia="Times New Roman" w:hAnsi="Calibri" w:cs="Calibri"/>
                <w:color w:val="222222"/>
                <w:sz w:val="22"/>
                <w:szCs w:val="22"/>
              </w:rPr>
              <w:t>AY26 or September 1, 2025</w:t>
            </w:r>
          </w:p>
        </w:tc>
      </w:tr>
      <w:tr w:rsidR="008E3E22" w:rsidRPr="008E3E22" w14:paraId="017C414E" w14:textId="77777777" w:rsidTr="00754CB4">
        <w:trPr>
          <w:jc w:val="center"/>
        </w:trPr>
        <w:tc>
          <w:tcPr>
            <w:tcW w:w="3242" w:type="dxa"/>
          </w:tcPr>
          <w:p w14:paraId="5E2A4F2F" w14:textId="77777777" w:rsidR="008E3E22" w:rsidRPr="008E3E22" w:rsidRDefault="008E3E22" w:rsidP="00754CB4">
            <w:pPr>
              <w:spacing w:after="240"/>
              <w:rPr>
                <w:rFonts w:ascii="Calibri" w:eastAsia="Times New Roman" w:hAnsi="Calibri" w:cs="Calibri"/>
                <w:color w:val="222222"/>
                <w:sz w:val="22"/>
                <w:szCs w:val="22"/>
              </w:rPr>
            </w:pPr>
            <w:r w:rsidRPr="008E3E22">
              <w:rPr>
                <w:rFonts w:ascii="Calibri" w:eastAsia="Times New Roman" w:hAnsi="Calibri" w:cs="Calibri"/>
                <w:color w:val="222222"/>
                <w:sz w:val="22"/>
                <w:szCs w:val="22"/>
              </w:rPr>
              <w:t xml:space="preserve">September 1, </w:t>
            </w:r>
            <w:proofErr w:type="gramStart"/>
            <w:r w:rsidRPr="008E3E22">
              <w:rPr>
                <w:rFonts w:ascii="Calibri" w:eastAsia="Times New Roman" w:hAnsi="Calibri" w:cs="Calibri"/>
                <w:color w:val="222222"/>
                <w:sz w:val="22"/>
                <w:szCs w:val="22"/>
              </w:rPr>
              <w:t>1963</w:t>
            </w:r>
            <w:proofErr w:type="gramEnd"/>
            <w:r w:rsidRPr="008E3E22">
              <w:rPr>
                <w:rFonts w:ascii="Calibri" w:eastAsia="Times New Roman" w:hAnsi="Calibri" w:cs="Calibri"/>
                <w:color w:val="222222"/>
                <w:sz w:val="22"/>
                <w:szCs w:val="22"/>
              </w:rPr>
              <w:t xml:space="preserve"> </w:t>
            </w:r>
          </w:p>
        </w:tc>
        <w:tc>
          <w:tcPr>
            <w:tcW w:w="3233" w:type="dxa"/>
          </w:tcPr>
          <w:p w14:paraId="182C95D1" w14:textId="77777777" w:rsidR="008E3E22" w:rsidRPr="008E3E22" w:rsidRDefault="008E3E22" w:rsidP="00754CB4">
            <w:pPr>
              <w:spacing w:after="240"/>
              <w:rPr>
                <w:rFonts w:ascii="Calibri" w:eastAsia="Times New Roman" w:hAnsi="Calibri" w:cs="Calibri"/>
                <w:color w:val="222222"/>
                <w:sz w:val="22"/>
                <w:szCs w:val="22"/>
              </w:rPr>
            </w:pPr>
            <w:r w:rsidRPr="008E3E22">
              <w:rPr>
                <w:rFonts w:ascii="Calibri" w:eastAsia="Times New Roman" w:hAnsi="Calibri" w:cs="Calibri"/>
                <w:color w:val="222222"/>
                <w:sz w:val="22"/>
                <w:szCs w:val="22"/>
              </w:rPr>
              <w:t>AY27</w:t>
            </w:r>
          </w:p>
        </w:tc>
      </w:tr>
    </w:tbl>
    <w:p w14:paraId="16E200AA" w14:textId="77777777" w:rsidR="008E3E22" w:rsidRPr="008E3E22" w:rsidRDefault="008E3E22" w:rsidP="008E3E22">
      <w:pPr>
        <w:shd w:val="clear" w:color="auto" w:fill="FFFFFF"/>
        <w:spacing w:after="240" w:line="240" w:lineRule="auto"/>
        <w:rPr>
          <w:rFonts w:ascii="Calibri" w:eastAsia="Times New Roman" w:hAnsi="Calibri" w:cs="Calibri"/>
          <w:color w:val="222222"/>
          <w:sz w:val="22"/>
          <w:szCs w:val="22"/>
        </w:rPr>
      </w:pPr>
    </w:p>
    <w:p w14:paraId="77403D7E" w14:textId="1B8DBA08" w:rsidR="008E3E22" w:rsidRPr="008E3E22" w:rsidRDefault="008E3E22" w:rsidP="008E3E22">
      <w:pPr>
        <w:shd w:val="clear" w:color="auto" w:fill="FFFFFF"/>
        <w:spacing w:after="240" w:line="240" w:lineRule="auto"/>
        <w:rPr>
          <w:rFonts w:ascii="Calibri" w:eastAsia="Times New Roman" w:hAnsi="Calibri" w:cs="Calibri"/>
          <w:color w:val="222222"/>
          <w:sz w:val="22"/>
          <w:szCs w:val="22"/>
        </w:rPr>
      </w:pPr>
      <w:r w:rsidRPr="008E3E22">
        <w:rPr>
          <w:rFonts w:ascii="Calibri" w:eastAsia="Times New Roman" w:hAnsi="Calibri" w:cs="Calibri"/>
          <w:color w:val="222222"/>
          <w:sz w:val="22"/>
          <w:szCs w:val="22"/>
        </w:rPr>
        <w:t>Participating faculty can reduce their workload in the two years of phased retirement without a significant reduction of earnings during the transitional period. For academic year 2026, qualified tenured faculty are eligible for the following:</w:t>
      </w:r>
    </w:p>
    <w:tbl>
      <w:tblPr>
        <w:tblStyle w:val="TableGrid"/>
        <w:tblW w:w="0" w:type="auto"/>
        <w:tblLook w:val="04A0" w:firstRow="1" w:lastRow="0" w:firstColumn="1" w:lastColumn="0" w:noHBand="0" w:noVBand="1"/>
      </w:tblPr>
      <w:tblGrid>
        <w:gridCol w:w="1569"/>
        <w:gridCol w:w="3075"/>
        <w:gridCol w:w="2426"/>
        <w:gridCol w:w="2280"/>
      </w:tblGrid>
      <w:tr w:rsidR="008E3E22" w:rsidRPr="008E3E22" w14:paraId="6B1EA195" w14:textId="77777777" w:rsidTr="00754CB4">
        <w:tc>
          <w:tcPr>
            <w:tcW w:w="1569" w:type="dxa"/>
          </w:tcPr>
          <w:p w14:paraId="7683F7E7" w14:textId="77777777" w:rsidR="008E3E22" w:rsidRPr="008E3E22" w:rsidRDefault="008E3E22" w:rsidP="00754CB4">
            <w:pPr>
              <w:spacing w:after="240"/>
              <w:rPr>
                <w:rFonts w:ascii="Calibri" w:eastAsia="Times New Roman" w:hAnsi="Calibri" w:cs="Calibri"/>
                <w:color w:val="222222"/>
                <w:sz w:val="22"/>
                <w:szCs w:val="22"/>
              </w:rPr>
            </w:pPr>
            <w:r w:rsidRPr="008E3E22">
              <w:rPr>
                <w:rFonts w:ascii="Calibri" w:eastAsia="Times New Roman" w:hAnsi="Calibri" w:cs="Calibri"/>
                <w:color w:val="222222"/>
                <w:sz w:val="22"/>
                <w:szCs w:val="22"/>
              </w:rPr>
              <w:t>Year 1</w:t>
            </w:r>
          </w:p>
        </w:tc>
        <w:tc>
          <w:tcPr>
            <w:tcW w:w="3075" w:type="dxa"/>
          </w:tcPr>
          <w:p w14:paraId="3FCA5B85" w14:textId="77777777" w:rsidR="008E3E22" w:rsidRPr="008E3E22" w:rsidRDefault="008E3E22" w:rsidP="00754CB4">
            <w:pPr>
              <w:spacing w:after="240"/>
              <w:rPr>
                <w:rFonts w:ascii="Calibri" w:eastAsia="Times New Roman" w:hAnsi="Calibri" w:cs="Calibri"/>
                <w:color w:val="222222"/>
                <w:sz w:val="22"/>
                <w:szCs w:val="22"/>
              </w:rPr>
            </w:pPr>
            <w:r w:rsidRPr="008E3E22">
              <w:rPr>
                <w:rFonts w:ascii="Calibri" w:eastAsia="Times New Roman" w:hAnsi="Calibri" w:cs="Calibri"/>
                <w:color w:val="222222"/>
                <w:sz w:val="22"/>
                <w:szCs w:val="22"/>
              </w:rPr>
              <w:t>50% effort</w:t>
            </w:r>
          </w:p>
        </w:tc>
        <w:tc>
          <w:tcPr>
            <w:tcW w:w="2426" w:type="dxa"/>
          </w:tcPr>
          <w:p w14:paraId="5125C7DF" w14:textId="35F1CC5E" w:rsidR="008E3E22" w:rsidRPr="008E3E22" w:rsidRDefault="00D676F4" w:rsidP="00754CB4">
            <w:pPr>
              <w:spacing w:after="240"/>
              <w:rPr>
                <w:rFonts w:ascii="Calibri" w:eastAsia="Times New Roman" w:hAnsi="Calibri" w:cs="Calibri"/>
                <w:color w:val="222222"/>
                <w:sz w:val="22"/>
                <w:szCs w:val="22"/>
              </w:rPr>
            </w:pPr>
            <w:r>
              <w:rPr>
                <w:rFonts w:ascii="Calibri" w:eastAsia="Times New Roman" w:hAnsi="Calibri" w:cs="Calibri"/>
                <w:color w:val="222222"/>
                <w:sz w:val="22"/>
                <w:szCs w:val="22"/>
              </w:rPr>
              <w:t>6</w:t>
            </w:r>
            <w:r w:rsidR="008E3E22" w:rsidRPr="008E3E22">
              <w:rPr>
                <w:rFonts w:ascii="Calibri" w:eastAsia="Times New Roman" w:hAnsi="Calibri" w:cs="Calibri"/>
                <w:color w:val="222222"/>
                <w:sz w:val="22"/>
                <w:szCs w:val="22"/>
              </w:rPr>
              <w:t>5% academic salary</w:t>
            </w:r>
          </w:p>
        </w:tc>
        <w:tc>
          <w:tcPr>
            <w:tcW w:w="2280" w:type="dxa"/>
          </w:tcPr>
          <w:p w14:paraId="31718596" w14:textId="77777777" w:rsidR="008E3E22" w:rsidRPr="008E3E22" w:rsidRDefault="008E3E22" w:rsidP="00754CB4">
            <w:pPr>
              <w:spacing w:after="240"/>
              <w:rPr>
                <w:rFonts w:ascii="Calibri" w:eastAsia="Times New Roman" w:hAnsi="Calibri" w:cs="Calibri"/>
                <w:color w:val="222222"/>
                <w:sz w:val="22"/>
                <w:szCs w:val="22"/>
              </w:rPr>
            </w:pPr>
            <w:r w:rsidRPr="008E3E22">
              <w:rPr>
                <w:rFonts w:ascii="Calibri" w:eastAsia="Times New Roman" w:hAnsi="Calibri" w:cs="Calibri"/>
                <w:color w:val="222222"/>
                <w:sz w:val="22"/>
                <w:szCs w:val="22"/>
              </w:rPr>
              <w:t>September 1, Year 1</w:t>
            </w:r>
          </w:p>
        </w:tc>
      </w:tr>
      <w:tr w:rsidR="008E3E22" w:rsidRPr="008E3E22" w14:paraId="5AF25F73" w14:textId="77777777" w:rsidTr="00754CB4">
        <w:tc>
          <w:tcPr>
            <w:tcW w:w="1569" w:type="dxa"/>
          </w:tcPr>
          <w:p w14:paraId="1129C605" w14:textId="77777777" w:rsidR="008E3E22" w:rsidRPr="008E3E22" w:rsidRDefault="008E3E22" w:rsidP="00754CB4">
            <w:pPr>
              <w:spacing w:after="240"/>
              <w:rPr>
                <w:rFonts w:ascii="Calibri" w:eastAsia="Times New Roman" w:hAnsi="Calibri" w:cs="Calibri"/>
                <w:color w:val="222222"/>
                <w:sz w:val="22"/>
                <w:szCs w:val="22"/>
              </w:rPr>
            </w:pPr>
            <w:r w:rsidRPr="008E3E22">
              <w:rPr>
                <w:rFonts w:ascii="Calibri" w:eastAsia="Times New Roman" w:hAnsi="Calibri" w:cs="Calibri"/>
                <w:color w:val="222222"/>
                <w:sz w:val="22"/>
                <w:szCs w:val="22"/>
              </w:rPr>
              <w:t>Year 2</w:t>
            </w:r>
          </w:p>
        </w:tc>
        <w:tc>
          <w:tcPr>
            <w:tcW w:w="3075" w:type="dxa"/>
          </w:tcPr>
          <w:p w14:paraId="0A9E6F15" w14:textId="77777777" w:rsidR="008E3E22" w:rsidRPr="008E3E22" w:rsidRDefault="008E3E22" w:rsidP="00754CB4">
            <w:pPr>
              <w:spacing w:after="240"/>
              <w:rPr>
                <w:rFonts w:ascii="Calibri" w:eastAsia="Times New Roman" w:hAnsi="Calibri" w:cs="Calibri"/>
                <w:color w:val="222222"/>
                <w:sz w:val="22"/>
                <w:szCs w:val="22"/>
              </w:rPr>
            </w:pPr>
            <w:r w:rsidRPr="008E3E22">
              <w:rPr>
                <w:rFonts w:ascii="Calibri" w:eastAsia="Times New Roman" w:hAnsi="Calibri" w:cs="Calibri"/>
                <w:color w:val="222222"/>
                <w:sz w:val="22"/>
                <w:szCs w:val="22"/>
              </w:rPr>
              <w:t>25% effort</w:t>
            </w:r>
          </w:p>
        </w:tc>
        <w:tc>
          <w:tcPr>
            <w:tcW w:w="2426" w:type="dxa"/>
          </w:tcPr>
          <w:p w14:paraId="7B18341E" w14:textId="065515CD" w:rsidR="008E3E22" w:rsidRPr="008E3E22" w:rsidRDefault="00D676F4" w:rsidP="00754CB4">
            <w:pPr>
              <w:spacing w:after="240"/>
              <w:rPr>
                <w:rFonts w:ascii="Calibri" w:eastAsia="Times New Roman" w:hAnsi="Calibri" w:cs="Calibri"/>
                <w:color w:val="222222"/>
                <w:sz w:val="22"/>
                <w:szCs w:val="22"/>
              </w:rPr>
            </w:pPr>
            <w:r>
              <w:rPr>
                <w:rFonts w:ascii="Calibri" w:eastAsia="Times New Roman" w:hAnsi="Calibri" w:cs="Calibri"/>
                <w:color w:val="222222"/>
                <w:sz w:val="22"/>
                <w:szCs w:val="22"/>
              </w:rPr>
              <w:t>4</w:t>
            </w:r>
            <w:r w:rsidR="008E3E22" w:rsidRPr="008E3E22">
              <w:rPr>
                <w:rFonts w:ascii="Calibri" w:eastAsia="Times New Roman" w:hAnsi="Calibri" w:cs="Calibri"/>
                <w:color w:val="222222"/>
                <w:sz w:val="22"/>
                <w:szCs w:val="22"/>
              </w:rPr>
              <w:t xml:space="preserve">0% academic salary </w:t>
            </w:r>
          </w:p>
        </w:tc>
        <w:tc>
          <w:tcPr>
            <w:tcW w:w="2280" w:type="dxa"/>
          </w:tcPr>
          <w:p w14:paraId="6A946BA4" w14:textId="77777777" w:rsidR="008E3E22" w:rsidRPr="008E3E22" w:rsidRDefault="008E3E22" w:rsidP="00754CB4">
            <w:pPr>
              <w:spacing w:after="240"/>
              <w:rPr>
                <w:rFonts w:ascii="Calibri" w:eastAsia="Times New Roman" w:hAnsi="Calibri" w:cs="Calibri"/>
                <w:color w:val="222222"/>
                <w:sz w:val="22"/>
                <w:szCs w:val="22"/>
              </w:rPr>
            </w:pPr>
            <w:r w:rsidRPr="008E3E22">
              <w:rPr>
                <w:rFonts w:ascii="Calibri" w:eastAsia="Times New Roman" w:hAnsi="Calibri" w:cs="Calibri"/>
                <w:color w:val="222222"/>
                <w:sz w:val="22"/>
                <w:szCs w:val="22"/>
              </w:rPr>
              <w:t>September 1, Year 2</w:t>
            </w:r>
          </w:p>
        </w:tc>
      </w:tr>
      <w:tr w:rsidR="008E3E22" w:rsidRPr="008E3E22" w14:paraId="70FBAA4C" w14:textId="77777777" w:rsidTr="00754CB4">
        <w:tc>
          <w:tcPr>
            <w:tcW w:w="1569" w:type="dxa"/>
          </w:tcPr>
          <w:p w14:paraId="1F4495B2" w14:textId="77777777" w:rsidR="008E3E22" w:rsidRPr="008E3E22" w:rsidRDefault="008E3E22" w:rsidP="00754CB4">
            <w:pPr>
              <w:spacing w:after="240"/>
              <w:rPr>
                <w:rFonts w:ascii="Calibri" w:eastAsia="Times New Roman" w:hAnsi="Calibri" w:cs="Calibri"/>
                <w:color w:val="222222"/>
                <w:sz w:val="22"/>
                <w:szCs w:val="22"/>
              </w:rPr>
            </w:pPr>
            <w:r w:rsidRPr="008E3E22">
              <w:rPr>
                <w:rFonts w:ascii="Calibri" w:eastAsia="Times New Roman" w:hAnsi="Calibri" w:cs="Calibri"/>
                <w:color w:val="222222"/>
                <w:sz w:val="22"/>
                <w:szCs w:val="22"/>
              </w:rPr>
              <w:t>Year 3</w:t>
            </w:r>
          </w:p>
        </w:tc>
        <w:tc>
          <w:tcPr>
            <w:tcW w:w="3075" w:type="dxa"/>
          </w:tcPr>
          <w:p w14:paraId="252F9C1E" w14:textId="77777777" w:rsidR="008E3E22" w:rsidRPr="008E3E22" w:rsidRDefault="008E3E22" w:rsidP="00754CB4">
            <w:pPr>
              <w:spacing w:after="240"/>
              <w:rPr>
                <w:rFonts w:ascii="Calibri" w:eastAsia="Times New Roman" w:hAnsi="Calibri" w:cs="Calibri"/>
                <w:color w:val="222222"/>
                <w:sz w:val="22"/>
                <w:szCs w:val="22"/>
              </w:rPr>
            </w:pPr>
            <w:r w:rsidRPr="008E3E22">
              <w:rPr>
                <w:rFonts w:ascii="Calibri" w:eastAsia="Times New Roman" w:hAnsi="Calibri" w:cs="Calibri"/>
                <w:color w:val="222222"/>
                <w:sz w:val="22"/>
                <w:szCs w:val="22"/>
              </w:rPr>
              <w:t>Full Retirement</w:t>
            </w:r>
          </w:p>
        </w:tc>
        <w:tc>
          <w:tcPr>
            <w:tcW w:w="2426" w:type="dxa"/>
          </w:tcPr>
          <w:p w14:paraId="2E84E532" w14:textId="77777777" w:rsidR="008E3E22" w:rsidRPr="008E3E22" w:rsidRDefault="008E3E22" w:rsidP="00754CB4">
            <w:pPr>
              <w:spacing w:after="240"/>
              <w:rPr>
                <w:rFonts w:ascii="Calibri" w:eastAsia="Times New Roman" w:hAnsi="Calibri" w:cs="Calibri"/>
                <w:color w:val="222222"/>
                <w:sz w:val="22"/>
                <w:szCs w:val="22"/>
              </w:rPr>
            </w:pPr>
            <w:r w:rsidRPr="008E3E22">
              <w:rPr>
                <w:rFonts w:ascii="Calibri" w:eastAsia="Times New Roman" w:hAnsi="Calibri" w:cs="Calibri"/>
                <w:color w:val="222222"/>
                <w:sz w:val="22"/>
                <w:szCs w:val="22"/>
              </w:rPr>
              <w:t>-</w:t>
            </w:r>
          </w:p>
        </w:tc>
        <w:tc>
          <w:tcPr>
            <w:tcW w:w="2280" w:type="dxa"/>
          </w:tcPr>
          <w:p w14:paraId="3B596EC7" w14:textId="77777777" w:rsidR="008E3E22" w:rsidRPr="008E3E22" w:rsidRDefault="008E3E22" w:rsidP="00754CB4">
            <w:pPr>
              <w:spacing w:after="240"/>
              <w:rPr>
                <w:rFonts w:ascii="Calibri" w:eastAsia="Times New Roman" w:hAnsi="Calibri" w:cs="Calibri"/>
                <w:color w:val="222222"/>
                <w:sz w:val="22"/>
                <w:szCs w:val="22"/>
              </w:rPr>
            </w:pPr>
            <w:r w:rsidRPr="008E3E22">
              <w:rPr>
                <w:rFonts w:ascii="Calibri" w:eastAsia="Times New Roman" w:hAnsi="Calibri" w:cs="Calibri"/>
                <w:color w:val="222222"/>
                <w:sz w:val="22"/>
                <w:szCs w:val="22"/>
              </w:rPr>
              <w:t>August 31</w:t>
            </w:r>
          </w:p>
        </w:tc>
      </w:tr>
    </w:tbl>
    <w:p w14:paraId="01C115EE" w14:textId="705CDFE3" w:rsidR="00301541" w:rsidRDefault="00301541" w:rsidP="008E3E22">
      <w:pPr>
        <w:shd w:val="clear" w:color="auto" w:fill="FFFFFF"/>
        <w:spacing w:after="240" w:line="240" w:lineRule="auto"/>
        <w:rPr>
          <w:rFonts w:ascii="Calibri" w:eastAsia="Times New Roman" w:hAnsi="Calibri" w:cs="Calibri"/>
          <w:color w:val="222222"/>
          <w:sz w:val="22"/>
          <w:szCs w:val="22"/>
        </w:rPr>
      </w:pPr>
    </w:p>
    <w:p w14:paraId="3605FB28" w14:textId="77777777" w:rsidR="00301541" w:rsidRDefault="00301541">
      <w:pPr>
        <w:rPr>
          <w:rFonts w:ascii="Calibri" w:eastAsia="Times New Roman" w:hAnsi="Calibri" w:cs="Calibri"/>
          <w:color w:val="222222"/>
          <w:sz w:val="22"/>
          <w:szCs w:val="22"/>
        </w:rPr>
      </w:pPr>
      <w:r>
        <w:rPr>
          <w:rFonts w:ascii="Calibri" w:eastAsia="Times New Roman" w:hAnsi="Calibri" w:cs="Calibri"/>
          <w:color w:val="222222"/>
          <w:sz w:val="22"/>
          <w:szCs w:val="22"/>
        </w:rPr>
        <w:br w:type="page"/>
      </w:r>
    </w:p>
    <w:p w14:paraId="4BBB6D4C" w14:textId="77777777" w:rsidR="008E3E22" w:rsidRPr="008E3E22" w:rsidRDefault="008E3E22" w:rsidP="008E3E22">
      <w:pPr>
        <w:shd w:val="clear" w:color="auto" w:fill="FFFFFF"/>
        <w:spacing w:after="240" w:line="240" w:lineRule="auto"/>
        <w:rPr>
          <w:rFonts w:ascii="Calibri" w:eastAsia="Times New Roman" w:hAnsi="Calibri" w:cs="Calibri"/>
          <w:color w:val="222222"/>
          <w:sz w:val="22"/>
          <w:szCs w:val="22"/>
        </w:rPr>
      </w:pPr>
    </w:p>
    <w:p w14:paraId="677309B9" w14:textId="77777777" w:rsidR="008E3E22" w:rsidRPr="008E3E22" w:rsidRDefault="008E3E22" w:rsidP="008E3E22">
      <w:pPr>
        <w:shd w:val="clear" w:color="auto" w:fill="FFFFFF"/>
        <w:spacing w:after="240" w:line="240" w:lineRule="auto"/>
        <w:rPr>
          <w:rFonts w:ascii="Calibri" w:eastAsia="Times New Roman" w:hAnsi="Calibri" w:cs="Calibri"/>
          <w:color w:val="222222"/>
          <w:sz w:val="22"/>
          <w:szCs w:val="22"/>
        </w:rPr>
      </w:pPr>
      <w:r w:rsidRPr="008E3E22">
        <w:rPr>
          <w:rFonts w:ascii="Calibri" w:eastAsia="Times New Roman" w:hAnsi="Calibri" w:cs="Calibri"/>
          <w:color w:val="222222"/>
          <w:sz w:val="22"/>
          <w:szCs w:val="22"/>
        </w:rPr>
        <w:t>Beginning in academic year 2027, the following phased retirement opportunity is available:</w:t>
      </w:r>
    </w:p>
    <w:tbl>
      <w:tblPr>
        <w:tblStyle w:val="TableGrid"/>
        <w:tblW w:w="9625" w:type="dxa"/>
        <w:tblLook w:val="04A0" w:firstRow="1" w:lastRow="0" w:firstColumn="1" w:lastColumn="0" w:noHBand="0" w:noVBand="1"/>
      </w:tblPr>
      <w:tblGrid>
        <w:gridCol w:w="1165"/>
        <w:gridCol w:w="3479"/>
        <w:gridCol w:w="2731"/>
        <w:gridCol w:w="2250"/>
      </w:tblGrid>
      <w:tr w:rsidR="008E3E22" w:rsidRPr="008E3E22" w14:paraId="7B340A1E" w14:textId="77777777" w:rsidTr="00754CB4">
        <w:tc>
          <w:tcPr>
            <w:tcW w:w="1165" w:type="dxa"/>
          </w:tcPr>
          <w:p w14:paraId="4348FC3D" w14:textId="77777777" w:rsidR="008E3E22" w:rsidRPr="008E3E22" w:rsidRDefault="008E3E22" w:rsidP="00754CB4">
            <w:pPr>
              <w:spacing w:after="240"/>
              <w:rPr>
                <w:rFonts w:ascii="Calibri" w:eastAsia="Times New Roman" w:hAnsi="Calibri" w:cs="Calibri"/>
                <w:color w:val="222222"/>
                <w:sz w:val="22"/>
                <w:szCs w:val="22"/>
              </w:rPr>
            </w:pPr>
            <w:bookmarkStart w:id="0" w:name="_Hlk186804920"/>
            <w:r w:rsidRPr="008E3E22">
              <w:rPr>
                <w:rFonts w:ascii="Calibri" w:eastAsia="Times New Roman" w:hAnsi="Calibri" w:cs="Calibri"/>
                <w:color w:val="222222"/>
                <w:sz w:val="22"/>
                <w:szCs w:val="22"/>
              </w:rPr>
              <w:t>Year 1</w:t>
            </w:r>
          </w:p>
        </w:tc>
        <w:tc>
          <w:tcPr>
            <w:tcW w:w="3479" w:type="dxa"/>
          </w:tcPr>
          <w:p w14:paraId="62018E91" w14:textId="77777777" w:rsidR="008E3E22" w:rsidRPr="008E3E22" w:rsidRDefault="008E3E22" w:rsidP="00754CB4">
            <w:pPr>
              <w:spacing w:after="240"/>
              <w:rPr>
                <w:rFonts w:ascii="Calibri" w:eastAsia="Times New Roman" w:hAnsi="Calibri" w:cs="Calibri"/>
                <w:color w:val="222222"/>
                <w:sz w:val="22"/>
                <w:szCs w:val="22"/>
              </w:rPr>
            </w:pPr>
            <w:r w:rsidRPr="008E3E22">
              <w:rPr>
                <w:rFonts w:ascii="Calibri" w:eastAsia="Times New Roman" w:hAnsi="Calibri" w:cs="Calibri"/>
                <w:color w:val="222222"/>
                <w:sz w:val="22"/>
                <w:szCs w:val="22"/>
              </w:rPr>
              <w:t>50% effort</w:t>
            </w:r>
          </w:p>
        </w:tc>
        <w:tc>
          <w:tcPr>
            <w:tcW w:w="2731" w:type="dxa"/>
          </w:tcPr>
          <w:p w14:paraId="70C74BC8" w14:textId="400AD459" w:rsidR="008E3E22" w:rsidRPr="008E3E22" w:rsidRDefault="00D676F4" w:rsidP="00754CB4">
            <w:pPr>
              <w:spacing w:after="240"/>
              <w:rPr>
                <w:rFonts w:ascii="Calibri" w:eastAsia="Times New Roman" w:hAnsi="Calibri" w:cs="Calibri"/>
                <w:color w:val="222222"/>
                <w:sz w:val="22"/>
                <w:szCs w:val="22"/>
              </w:rPr>
            </w:pPr>
            <w:r>
              <w:rPr>
                <w:rFonts w:ascii="Calibri" w:eastAsia="Times New Roman" w:hAnsi="Calibri" w:cs="Calibri"/>
                <w:color w:val="222222"/>
                <w:sz w:val="22"/>
                <w:szCs w:val="22"/>
              </w:rPr>
              <w:t>5</w:t>
            </w:r>
            <w:r w:rsidR="008E3E22" w:rsidRPr="008E3E22">
              <w:rPr>
                <w:rFonts w:ascii="Calibri" w:eastAsia="Times New Roman" w:hAnsi="Calibri" w:cs="Calibri"/>
                <w:color w:val="222222"/>
                <w:sz w:val="22"/>
                <w:szCs w:val="22"/>
              </w:rPr>
              <w:t>0% academic salary</w:t>
            </w:r>
          </w:p>
        </w:tc>
        <w:tc>
          <w:tcPr>
            <w:tcW w:w="2250" w:type="dxa"/>
          </w:tcPr>
          <w:p w14:paraId="28B32235" w14:textId="77777777" w:rsidR="008E3E22" w:rsidRPr="008E3E22" w:rsidRDefault="008E3E22" w:rsidP="00754CB4">
            <w:pPr>
              <w:spacing w:after="240"/>
              <w:rPr>
                <w:rFonts w:ascii="Calibri" w:eastAsia="Times New Roman" w:hAnsi="Calibri" w:cs="Calibri"/>
                <w:color w:val="222222"/>
                <w:sz w:val="22"/>
                <w:szCs w:val="22"/>
              </w:rPr>
            </w:pPr>
            <w:r w:rsidRPr="008E3E22">
              <w:rPr>
                <w:rFonts w:ascii="Calibri" w:eastAsia="Times New Roman" w:hAnsi="Calibri" w:cs="Calibri"/>
                <w:color w:val="222222"/>
                <w:sz w:val="22"/>
                <w:szCs w:val="22"/>
              </w:rPr>
              <w:t>September 1, Year 1</w:t>
            </w:r>
          </w:p>
        </w:tc>
      </w:tr>
      <w:tr w:rsidR="008E3E22" w:rsidRPr="008E3E22" w14:paraId="3CFA7650" w14:textId="77777777" w:rsidTr="00754CB4">
        <w:tc>
          <w:tcPr>
            <w:tcW w:w="1165" w:type="dxa"/>
          </w:tcPr>
          <w:p w14:paraId="167509F3" w14:textId="77777777" w:rsidR="008E3E22" w:rsidRPr="008E3E22" w:rsidRDefault="008E3E22" w:rsidP="00754CB4">
            <w:pPr>
              <w:spacing w:after="240"/>
              <w:rPr>
                <w:rFonts w:ascii="Calibri" w:eastAsia="Times New Roman" w:hAnsi="Calibri" w:cs="Calibri"/>
                <w:color w:val="222222"/>
                <w:sz w:val="22"/>
                <w:szCs w:val="22"/>
              </w:rPr>
            </w:pPr>
            <w:r w:rsidRPr="008E3E22">
              <w:rPr>
                <w:rFonts w:ascii="Calibri" w:eastAsia="Times New Roman" w:hAnsi="Calibri" w:cs="Calibri"/>
                <w:color w:val="222222"/>
                <w:sz w:val="22"/>
                <w:szCs w:val="22"/>
              </w:rPr>
              <w:t>Year 2</w:t>
            </w:r>
          </w:p>
        </w:tc>
        <w:tc>
          <w:tcPr>
            <w:tcW w:w="3479" w:type="dxa"/>
          </w:tcPr>
          <w:p w14:paraId="230B7C3B" w14:textId="77777777" w:rsidR="008E3E22" w:rsidRPr="008E3E22" w:rsidRDefault="008E3E22" w:rsidP="00754CB4">
            <w:pPr>
              <w:spacing w:after="240"/>
              <w:rPr>
                <w:rFonts w:ascii="Calibri" w:eastAsia="Times New Roman" w:hAnsi="Calibri" w:cs="Calibri"/>
                <w:color w:val="222222"/>
                <w:sz w:val="22"/>
                <w:szCs w:val="22"/>
              </w:rPr>
            </w:pPr>
            <w:r w:rsidRPr="008E3E22">
              <w:rPr>
                <w:rFonts w:ascii="Calibri" w:eastAsia="Times New Roman" w:hAnsi="Calibri" w:cs="Calibri"/>
                <w:color w:val="222222"/>
                <w:sz w:val="22"/>
                <w:szCs w:val="22"/>
              </w:rPr>
              <w:t>No more than 50% effort</w:t>
            </w:r>
          </w:p>
        </w:tc>
        <w:tc>
          <w:tcPr>
            <w:tcW w:w="2731" w:type="dxa"/>
          </w:tcPr>
          <w:p w14:paraId="0AA9ABD1" w14:textId="77777777" w:rsidR="008E3E22" w:rsidRPr="008E3E22" w:rsidRDefault="008E3E22" w:rsidP="00754CB4">
            <w:pPr>
              <w:spacing w:after="240"/>
              <w:rPr>
                <w:rFonts w:ascii="Calibri" w:eastAsia="Times New Roman" w:hAnsi="Calibri" w:cs="Calibri"/>
                <w:color w:val="222222"/>
                <w:sz w:val="22"/>
                <w:szCs w:val="22"/>
              </w:rPr>
            </w:pPr>
            <w:r w:rsidRPr="008E3E22">
              <w:rPr>
                <w:rFonts w:ascii="Calibri" w:eastAsia="Times New Roman" w:hAnsi="Calibri" w:cs="Calibri"/>
                <w:color w:val="222222"/>
                <w:sz w:val="22"/>
                <w:szCs w:val="22"/>
              </w:rPr>
              <w:t>% academic salary commensurate to effort</w:t>
            </w:r>
          </w:p>
        </w:tc>
        <w:tc>
          <w:tcPr>
            <w:tcW w:w="2250" w:type="dxa"/>
          </w:tcPr>
          <w:p w14:paraId="2A31363C" w14:textId="77777777" w:rsidR="008E3E22" w:rsidRPr="008E3E22" w:rsidRDefault="008E3E22" w:rsidP="00754CB4">
            <w:pPr>
              <w:spacing w:after="240"/>
              <w:rPr>
                <w:rFonts w:ascii="Calibri" w:eastAsia="Times New Roman" w:hAnsi="Calibri" w:cs="Calibri"/>
                <w:color w:val="222222"/>
                <w:sz w:val="22"/>
                <w:szCs w:val="22"/>
              </w:rPr>
            </w:pPr>
            <w:r w:rsidRPr="008E3E22">
              <w:rPr>
                <w:rFonts w:ascii="Calibri" w:eastAsia="Times New Roman" w:hAnsi="Calibri" w:cs="Calibri"/>
                <w:color w:val="222222"/>
                <w:sz w:val="22"/>
                <w:szCs w:val="22"/>
              </w:rPr>
              <w:t>September 1, Year 2</w:t>
            </w:r>
          </w:p>
        </w:tc>
      </w:tr>
      <w:tr w:rsidR="008E3E22" w:rsidRPr="008E3E22" w14:paraId="7F909EB7" w14:textId="77777777" w:rsidTr="00754CB4">
        <w:tc>
          <w:tcPr>
            <w:tcW w:w="1165" w:type="dxa"/>
          </w:tcPr>
          <w:p w14:paraId="6F999EB8" w14:textId="77777777" w:rsidR="008E3E22" w:rsidRPr="008E3E22" w:rsidRDefault="008E3E22" w:rsidP="00754CB4">
            <w:pPr>
              <w:spacing w:after="240"/>
              <w:rPr>
                <w:rFonts w:ascii="Calibri" w:eastAsia="Times New Roman" w:hAnsi="Calibri" w:cs="Calibri"/>
                <w:color w:val="222222"/>
                <w:sz w:val="22"/>
                <w:szCs w:val="22"/>
              </w:rPr>
            </w:pPr>
            <w:r w:rsidRPr="008E3E22">
              <w:rPr>
                <w:rFonts w:ascii="Calibri" w:eastAsia="Times New Roman" w:hAnsi="Calibri" w:cs="Calibri"/>
                <w:color w:val="222222"/>
                <w:sz w:val="22"/>
                <w:szCs w:val="22"/>
              </w:rPr>
              <w:t>Year 3</w:t>
            </w:r>
          </w:p>
        </w:tc>
        <w:tc>
          <w:tcPr>
            <w:tcW w:w="3479" w:type="dxa"/>
          </w:tcPr>
          <w:p w14:paraId="736AF9DE" w14:textId="77777777" w:rsidR="008E3E22" w:rsidRPr="008E3E22" w:rsidRDefault="008E3E22" w:rsidP="00754CB4">
            <w:pPr>
              <w:spacing w:after="240"/>
              <w:rPr>
                <w:rFonts w:ascii="Calibri" w:eastAsia="Times New Roman" w:hAnsi="Calibri" w:cs="Calibri"/>
                <w:color w:val="222222"/>
                <w:sz w:val="22"/>
                <w:szCs w:val="22"/>
              </w:rPr>
            </w:pPr>
            <w:r w:rsidRPr="008E3E22">
              <w:rPr>
                <w:rFonts w:ascii="Calibri" w:eastAsia="Times New Roman" w:hAnsi="Calibri" w:cs="Calibri"/>
                <w:color w:val="222222"/>
                <w:sz w:val="22"/>
                <w:szCs w:val="22"/>
              </w:rPr>
              <w:t>Full Retirement</w:t>
            </w:r>
          </w:p>
        </w:tc>
        <w:tc>
          <w:tcPr>
            <w:tcW w:w="2731" w:type="dxa"/>
          </w:tcPr>
          <w:p w14:paraId="6A00B1C2" w14:textId="77777777" w:rsidR="008E3E22" w:rsidRPr="008E3E22" w:rsidRDefault="008E3E22" w:rsidP="00754CB4">
            <w:pPr>
              <w:spacing w:after="240"/>
              <w:rPr>
                <w:rFonts w:ascii="Calibri" w:eastAsia="Times New Roman" w:hAnsi="Calibri" w:cs="Calibri"/>
                <w:color w:val="222222"/>
                <w:sz w:val="22"/>
                <w:szCs w:val="22"/>
              </w:rPr>
            </w:pPr>
            <w:r w:rsidRPr="008E3E22">
              <w:rPr>
                <w:rFonts w:ascii="Calibri" w:eastAsia="Times New Roman" w:hAnsi="Calibri" w:cs="Calibri"/>
                <w:color w:val="222222"/>
                <w:sz w:val="22"/>
                <w:szCs w:val="22"/>
              </w:rPr>
              <w:t>-</w:t>
            </w:r>
          </w:p>
        </w:tc>
        <w:tc>
          <w:tcPr>
            <w:tcW w:w="2250" w:type="dxa"/>
          </w:tcPr>
          <w:p w14:paraId="37B03FE9" w14:textId="3F46C9A3" w:rsidR="008E3E22" w:rsidRPr="008E3E22" w:rsidRDefault="006D516B" w:rsidP="00754CB4">
            <w:pPr>
              <w:spacing w:after="240"/>
              <w:rPr>
                <w:rFonts w:ascii="Calibri" w:eastAsia="Times New Roman" w:hAnsi="Calibri" w:cs="Calibri"/>
                <w:color w:val="222222"/>
                <w:sz w:val="22"/>
                <w:szCs w:val="22"/>
              </w:rPr>
            </w:pPr>
            <w:r>
              <w:rPr>
                <w:rFonts w:ascii="Calibri" w:eastAsia="Times New Roman" w:hAnsi="Calibri" w:cs="Calibri"/>
                <w:color w:val="222222"/>
                <w:sz w:val="22"/>
                <w:szCs w:val="22"/>
              </w:rPr>
              <w:t>September 1</w:t>
            </w:r>
          </w:p>
        </w:tc>
      </w:tr>
    </w:tbl>
    <w:bookmarkEnd w:id="0"/>
    <w:p w14:paraId="6A25C0D9" w14:textId="77777777" w:rsidR="008E3E22" w:rsidRPr="006D516B" w:rsidRDefault="008E3E22" w:rsidP="008E3E22">
      <w:pPr>
        <w:shd w:val="clear" w:color="auto" w:fill="FFFFFF"/>
        <w:spacing w:before="420" w:after="156" w:line="240" w:lineRule="auto"/>
        <w:outlineLvl w:val="2"/>
        <w:rPr>
          <w:rFonts w:ascii="Calibri" w:eastAsia="Times New Roman" w:hAnsi="Calibri" w:cs="Calibri"/>
          <w:color w:val="00356B"/>
          <w:sz w:val="22"/>
          <w:szCs w:val="22"/>
          <w:u w:val="single"/>
        </w:rPr>
      </w:pPr>
      <w:r w:rsidRPr="006D516B">
        <w:rPr>
          <w:rFonts w:ascii="Calibri" w:eastAsia="Times New Roman" w:hAnsi="Calibri" w:cs="Calibri"/>
          <w:color w:val="00356B"/>
          <w:sz w:val="22"/>
          <w:szCs w:val="22"/>
          <w:u w:val="single"/>
        </w:rPr>
        <w:t>Eligibility</w:t>
      </w:r>
    </w:p>
    <w:p w14:paraId="4564341A" w14:textId="77777777" w:rsidR="008E3E22" w:rsidRPr="008E3E22" w:rsidRDefault="008E3E22" w:rsidP="008E3E22">
      <w:pPr>
        <w:shd w:val="clear" w:color="auto" w:fill="FFFFFF"/>
        <w:spacing w:after="240" w:line="240" w:lineRule="auto"/>
        <w:rPr>
          <w:rFonts w:ascii="Calibri" w:eastAsia="Times New Roman" w:hAnsi="Calibri" w:cs="Calibri"/>
          <w:color w:val="222222"/>
          <w:sz w:val="22"/>
          <w:szCs w:val="22"/>
        </w:rPr>
      </w:pPr>
      <w:r w:rsidRPr="008E3E22">
        <w:rPr>
          <w:rFonts w:ascii="Calibri" w:eastAsia="Times New Roman" w:hAnsi="Calibri" w:cs="Calibri"/>
          <w:color w:val="222222"/>
          <w:sz w:val="22"/>
          <w:szCs w:val="22"/>
        </w:rPr>
        <w:t>Faculty members eligible to participate in this program:</w:t>
      </w:r>
    </w:p>
    <w:p w14:paraId="302F992C" w14:textId="77777777" w:rsidR="008E3E22" w:rsidRPr="008E3E22" w:rsidRDefault="008E3E22" w:rsidP="008E3E22">
      <w:pPr>
        <w:numPr>
          <w:ilvl w:val="0"/>
          <w:numId w:val="9"/>
        </w:numPr>
        <w:shd w:val="clear" w:color="auto" w:fill="FFFFFF"/>
        <w:spacing w:before="100" w:beforeAutospacing="1" w:after="120" w:line="240" w:lineRule="auto"/>
        <w:ind w:left="1020"/>
        <w:rPr>
          <w:rFonts w:ascii="Calibri" w:eastAsia="Times New Roman" w:hAnsi="Calibri" w:cs="Calibri"/>
          <w:color w:val="222222"/>
          <w:sz w:val="22"/>
          <w:szCs w:val="22"/>
        </w:rPr>
      </w:pPr>
      <w:r w:rsidRPr="008E3E22">
        <w:rPr>
          <w:rFonts w:ascii="Calibri" w:eastAsia="Times New Roman" w:hAnsi="Calibri" w:cs="Calibri"/>
          <w:color w:val="222222"/>
          <w:sz w:val="22"/>
          <w:szCs w:val="22"/>
        </w:rPr>
        <w:t>Must be at least 62 years of age and have a minimum of 10 years continuous service as of August 31 of the year in which intended phased retirement will begin.</w:t>
      </w:r>
    </w:p>
    <w:p w14:paraId="2D13EAA7" w14:textId="77777777" w:rsidR="008E3E22" w:rsidRPr="008E3E22" w:rsidRDefault="008E3E22" w:rsidP="008E3E22">
      <w:pPr>
        <w:numPr>
          <w:ilvl w:val="0"/>
          <w:numId w:val="9"/>
        </w:numPr>
        <w:shd w:val="clear" w:color="auto" w:fill="FFFFFF"/>
        <w:spacing w:before="100" w:beforeAutospacing="1" w:after="120" w:line="240" w:lineRule="auto"/>
        <w:ind w:left="1020"/>
        <w:rPr>
          <w:rFonts w:ascii="Calibri" w:eastAsia="Times New Roman" w:hAnsi="Calibri" w:cs="Calibri"/>
          <w:color w:val="222222"/>
          <w:sz w:val="22"/>
          <w:szCs w:val="22"/>
        </w:rPr>
      </w:pPr>
      <w:r w:rsidRPr="008E3E22">
        <w:rPr>
          <w:rFonts w:ascii="Calibri" w:eastAsia="Times New Roman" w:hAnsi="Calibri" w:cs="Calibri"/>
          <w:color w:val="222222"/>
          <w:sz w:val="22"/>
          <w:szCs w:val="22"/>
        </w:rPr>
        <w:t>Have the following tenured appointments:</w:t>
      </w:r>
    </w:p>
    <w:p w14:paraId="701DCEF3" w14:textId="77777777" w:rsidR="008E3E22" w:rsidRPr="008E3E22" w:rsidRDefault="008E3E22" w:rsidP="008E3E22">
      <w:pPr>
        <w:numPr>
          <w:ilvl w:val="1"/>
          <w:numId w:val="9"/>
        </w:numPr>
        <w:shd w:val="clear" w:color="auto" w:fill="FFFFFF"/>
        <w:spacing w:before="100" w:beforeAutospacing="1" w:after="120" w:line="240" w:lineRule="auto"/>
        <w:ind w:left="2040"/>
        <w:rPr>
          <w:rFonts w:ascii="Calibri" w:eastAsia="Times New Roman" w:hAnsi="Calibri" w:cs="Calibri"/>
          <w:color w:val="222222"/>
          <w:sz w:val="22"/>
          <w:szCs w:val="22"/>
        </w:rPr>
      </w:pPr>
      <w:r w:rsidRPr="008E3E22">
        <w:rPr>
          <w:rFonts w:ascii="Calibri" w:eastAsia="Times New Roman" w:hAnsi="Calibri" w:cs="Calibri"/>
          <w:color w:val="222222"/>
          <w:sz w:val="22"/>
          <w:szCs w:val="22"/>
        </w:rPr>
        <w:t>Professor</w:t>
      </w:r>
    </w:p>
    <w:p w14:paraId="429928A7" w14:textId="77777777" w:rsidR="008E3E22" w:rsidRPr="008E3E22" w:rsidRDefault="008E3E22" w:rsidP="008E3E22">
      <w:pPr>
        <w:numPr>
          <w:ilvl w:val="1"/>
          <w:numId w:val="9"/>
        </w:numPr>
        <w:shd w:val="clear" w:color="auto" w:fill="FFFFFF"/>
        <w:spacing w:before="100" w:beforeAutospacing="1" w:after="120" w:line="240" w:lineRule="auto"/>
        <w:ind w:left="2040"/>
        <w:rPr>
          <w:rFonts w:ascii="Calibri" w:eastAsia="Times New Roman" w:hAnsi="Calibri" w:cs="Calibri"/>
          <w:color w:val="222222"/>
          <w:sz w:val="22"/>
          <w:szCs w:val="22"/>
        </w:rPr>
      </w:pPr>
      <w:r w:rsidRPr="008E3E22">
        <w:rPr>
          <w:rFonts w:ascii="Calibri" w:eastAsia="Times New Roman" w:hAnsi="Calibri" w:cs="Calibri"/>
          <w:color w:val="222222"/>
          <w:sz w:val="22"/>
          <w:szCs w:val="22"/>
        </w:rPr>
        <w:t>Associate Professor with tenure</w:t>
      </w:r>
    </w:p>
    <w:p w14:paraId="08B9698F" w14:textId="77777777" w:rsidR="008E3E22" w:rsidRPr="006D516B" w:rsidRDefault="008E3E22" w:rsidP="008E3E22">
      <w:pPr>
        <w:rPr>
          <w:rFonts w:ascii="Calibri" w:eastAsia="Times New Roman" w:hAnsi="Calibri" w:cs="Calibri"/>
          <w:color w:val="00356B"/>
          <w:sz w:val="22"/>
          <w:szCs w:val="22"/>
          <w:u w:val="single"/>
        </w:rPr>
      </w:pPr>
      <w:r w:rsidRPr="006D516B">
        <w:rPr>
          <w:rFonts w:ascii="Calibri" w:eastAsia="Times New Roman" w:hAnsi="Calibri" w:cs="Calibri"/>
          <w:color w:val="00356B"/>
          <w:sz w:val="22"/>
          <w:szCs w:val="22"/>
          <w:u w:val="single"/>
        </w:rPr>
        <w:t>Application</w:t>
      </w:r>
    </w:p>
    <w:p w14:paraId="4C135316" w14:textId="1ED7DD2D" w:rsidR="008E3E22" w:rsidRPr="008E3E22" w:rsidRDefault="008E3E22" w:rsidP="008E3E22">
      <w:pPr>
        <w:pStyle w:val="ListParagraph"/>
        <w:numPr>
          <w:ilvl w:val="0"/>
          <w:numId w:val="9"/>
        </w:numPr>
        <w:shd w:val="clear" w:color="auto" w:fill="FFFFFF"/>
        <w:spacing w:after="240" w:line="240" w:lineRule="auto"/>
        <w:rPr>
          <w:rFonts w:ascii="Calibri" w:eastAsia="Times New Roman" w:hAnsi="Calibri" w:cs="Calibri"/>
          <w:color w:val="222222"/>
          <w:sz w:val="22"/>
          <w:szCs w:val="22"/>
        </w:rPr>
      </w:pPr>
      <w:r w:rsidRPr="008E3E22">
        <w:rPr>
          <w:rFonts w:ascii="Calibri" w:eastAsia="Times New Roman" w:hAnsi="Calibri" w:cs="Calibri"/>
          <w:color w:val="222222"/>
          <w:sz w:val="22"/>
          <w:szCs w:val="22"/>
        </w:rPr>
        <w:t xml:space="preserve">The university will open an annual enrollment period on or before December </w:t>
      </w:r>
      <w:r w:rsidR="006D516B" w:rsidRPr="008E3E22">
        <w:rPr>
          <w:rFonts w:ascii="Calibri" w:eastAsia="Times New Roman" w:hAnsi="Calibri" w:cs="Calibri"/>
          <w:color w:val="222222"/>
          <w:sz w:val="22"/>
          <w:szCs w:val="22"/>
        </w:rPr>
        <w:t>1, extending</w:t>
      </w:r>
      <w:r w:rsidRPr="008E3E22">
        <w:rPr>
          <w:rFonts w:ascii="Calibri" w:eastAsia="Times New Roman" w:hAnsi="Calibri" w:cs="Calibri"/>
          <w:color w:val="222222"/>
          <w:sz w:val="22"/>
          <w:szCs w:val="22"/>
        </w:rPr>
        <w:t xml:space="preserve"> through December 31. Eligible faculty must submit their application for consideration and approval prior to the </w:t>
      </w:r>
      <w:r w:rsidR="006D516B" w:rsidRPr="008E3E22">
        <w:rPr>
          <w:rFonts w:ascii="Calibri" w:eastAsia="Times New Roman" w:hAnsi="Calibri" w:cs="Calibri"/>
          <w:color w:val="222222"/>
          <w:sz w:val="22"/>
          <w:szCs w:val="22"/>
        </w:rPr>
        <w:t>year-end</w:t>
      </w:r>
      <w:r w:rsidR="00AD3D67" w:rsidRPr="008E3E22">
        <w:rPr>
          <w:rFonts w:ascii="Calibri" w:eastAsia="Times New Roman" w:hAnsi="Calibri" w:cs="Calibri"/>
          <w:color w:val="222222"/>
          <w:sz w:val="22"/>
          <w:szCs w:val="22"/>
        </w:rPr>
        <w:t xml:space="preserve"> calendar</w:t>
      </w:r>
      <w:r w:rsidRPr="008E3E22">
        <w:rPr>
          <w:rFonts w:ascii="Calibri" w:eastAsia="Times New Roman" w:hAnsi="Calibri" w:cs="Calibri"/>
          <w:color w:val="222222"/>
          <w:sz w:val="22"/>
          <w:szCs w:val="22"/>
        </w:rPr>
        <w:t xml:space="preserve"> to be considered for phased retirement in the next academic year. </w:t>
      </w:r>
    </w:p>
    <w:p w14:paraId="1C675F6A" w14:textId="77777777" w:rsidR="008E3E22" w:rsidRPr="008E3E22" w:rsidRDefault="008E3E22" w:rsidP="008E3E22">
      <w:pPr>
        <w:pStyle w:val="ListParagraph"/>
        <w:numPr>
          <w:ilvl w:val="0"/>
          <w:numId w:val="9"/>
        </w:numPr>
        <w:shd w:val="clear" w:color="auto" w:fill="FFFFFF"/>
        <w:spacing w:after="240" w:line="240" w:lineRule="auto"/>
        <w:rPr>
          <w:rFonts w:ascii="Calibri" w:eastAsia="Times New Roman" w:hAnsi="Calibri" w:cs="Calibri"/>
          <w:color w:val="222222"/>
          <w:sz w:val="22"/>
          <w:szCs w:val="22"/>
        </w:rPr>
      </w:pPr>
      <w:r w:rsidRPr="008E3E22">
        <w:rPr>
          <w:rFonts w:ascii="Calibri" w:eastAsia="Times New Roman" w:hAnsi="Calibri" w:cs="Calibri"/>
          <w:color w:val="222222"/>
          <w:sz w:val="22"/>
          <w:szCs w:val="22"/>
        </w:rPr>
        <w:t xml:space="preserve">For the academic year 2026, the university enrollment period will be held March 1 through March 31, 2025.  </w:t>
      </w:r>
    </w:p>
    <w:p w14:paraId="44C438FA" w14:textId="77777777" w:rsidR="008E3E22" w:rsidRPr="008E3E22" w:rsidRDefault="008E3E22" w:rsidP="008E3E22">
      <w:pPr>
        <w:pStyle w:val="ListParagraph"/>
        <w:numPr>
          <w:ilvl w:val="0"/>
          <w:numId w:val="9"/>
        </w:numPr>
        <w:shd w:val="clear" w:color="auto" w:fill="FFFFFF"/>
        <w:spacing w:after="240" w:line="240" w:lineRule="auto"/>
        <w:rPr>
          <w:rFonts w:ascii="Calibri" w:eastAsia="Times New Roman" w:hAnsi="Calibri" w:cs="Calibri"/>
          <w:color w:val="222222"/>
          <w:sz w:val="22"/>
          <w:szCs w:val="22"/>
        </w:rPr>
      </w:pPr>
      <w:r w:rsidRPr="008E3E22">
        <w:rPr>
          <w:rFonts w:ascii="Calibri" w:eastAsia="Times New Roman" w:hAnsi="Calibri" w:cs="Calibri"/>
          <w:color w:val="222222"/>
          <w:sz w:val="22"/>
          <w:szCs w:val="22"/>
        </w:rPr>
        <w:t>The University’s Provost (or designee) executes and approves the TFPRP application on behalf of the university no later than April 30 of the calendar year for which the planned phased schedule will begin.</w:t>
      </w:r>
    </w:p>
    <w:p w14:paraId="36CAB5FF" w14:textId="77777777" w:rsidR="008E3E22" w:rsidRPr="008E3E22" w:rsidRDefault="008E3E22" w:rsidP="008E3E22">
      <w:pPr>
        <w:pStyle w:val="ListParagraph"/>
        <w:numPr>
          <w:ilvl w:val="0"/>
          <w:numId w:val="9"/>
        </w:numPr>
        <w:shd w:val="clear" w:color="auto" w:fill="FFFFFF"/>
        <w:spacing w:after="240" w:line="240" w:lineRule="auto"/>
        <w:rPr>
          <w:rFonts w:ascii="Calibri" w:eastAsia="Times New Roman" w:hAnsi="Calibri" w:cs="Calibri"/>
          <w:color w:val="222222"/>
          <w:sz w:val="22"/>
          <w:szCs w:val="22"/>
        </w:rPr>
      </w:pPr>
      <w:r w:rsidRPr="008E3E22">
        <w:rPr>
          <w:rFonts w:ascii="Calibri" w:eastAsia="Times New Roman" w:hAnsi="Calibri" w:cs="Calibri"/>
          <w:color w:val="222222"/>
          <w:sz w:val="22"/>
          <w:szCs w:val="22"/>
        </w:rPr>
        <w:t>Faculty members may fully retire after year one and must retire no later than the end of year two.</w:t>
      </w:r>
    </w:p>
    <w:p w14:paraId="19B4D60D" w14:textId="77777777" w:rsidR="008E3E22" w:rsidRPr="006D516B" w:rsidRDefault="008E3E22" w:rsidP="008E3E22">
      <w:pPr>
        <w:shd w:val="clear" w:color="auto" w:fill="FFFFFF"/>
        <w:spacing w:before="420" w:after="156" w:line="240" w:lineRule="auto"/>
        <w:ind w:left="360"/>
        <w:outlineLvl w:val="2"/>
        <w:rPr>
          <w:rFonts w:ascii="Calibri" w:eastAsia="Times New Roman" w:hAnsi="Calibri" w:cs="Calibri"/>
          <w:color w:val="00356B"/>
          <w:sz w:val="22"/>
          <w:szCs w:val="22"/>
          <w:u w:val="single"/>
        </w:rPr>
      </w:pPr>
      <w:r w:rsidRPr="006D516B">
        <w:rPr>
          <w:rFonts w:ascii="Calibri" w:eastAsia="Times New Roman" w:hAnsi="Calibri" w:cs="Calibri"/>
          <w:color w:val="00356B"/>
          <w:sz w:val="22"/>
          <w:szCs w:val="22"/>
          <w:u w:val="single"/>
        </w:rPr>
        <w:t>Specifications</w:t>
      </w:r>
    </w:p>
    <w:p w14:paraId="49845F1A" w14:textId="77777777" w:rsidR="008E3E22" w:rsidRPr="008E3E22" w:rsidRDefault="008E3E22" w:rsidP="008E3E22">
      <w:pPr>
        <w:pStyle w:val="ListParagraph"/>
        <w:shd w:val="clear" w:color="auto" w:fill="FFFFFF"/>
        <w:spacing w:after="240" w:line="240" w:lineRule="auto"/>
        <w:rPr>
          <w:rFonts w:ascii="Calibri" w:eastAsia="Times New Roman" w:hAnsi="Calibri" w:cs="Calibri"/>
          <w:color w:val="222222"/>
          <w:sz w:val="22"/>
          <w:szCs w:val="22"/>
        </w:rPr>
      </w:pPr>
    </w:p>
    <w:p w14:paraId="53AC89BE" w14:textId="6FEA03B6" w:rsidR="00D676F4" w:rsidRDefault="00D676F4" w:rsidP="00D676F4">
      <w:pPr>
        <w:pStyle w:val="ListParagraph"/>
        <w:numPr>
          <w:ilvl w:val="0"/>
          <w:numId w:val="9"/>
        </w:numPr>
        <w:shd w:val="clear" w:color="auto" w:fill="FFFFFF"/>
        <w:spacing w:after="240" w:line="240" w:lineRule="auto"/>
        <w:rPr>
          <w:rFonts w:ascii="Calibri" w:eastAsia="Times New Roman" w:hAnsi="Calibri" w:cs="Calibri"/>
          <w:color w:val="222222"/>
          <w:sz w:val="22"/>
          <w:szCs w:val="22"/>
        </w:rPr>
      </w:pPr>
      <w:r w:rsidRPr="008E3E22">
        <w:rPr>
          <w:rFonts w:ascii="Calibri" w:eastAsia="Times New Roman" w:hAnsi="Calibri" w:cs="Calibri"/>
          <w:color w:val="222222"/>
          <w:sz w:val="22"/>
          <w:szCs w:val="22"/>
          <w:u w:val="single"/>
        </w:rPr>
        <w:t>Program Completion:</w:t>
      </w:r>
      <w:r w:rsidRPr="008E3E22">
        <w:rPr>
          <w:rFonts w:ascii="Calibri" w:eastAsia="Times New Roman" w:hAnsi="Calibri" w:cs="Calibri"/>
          <w:color w:val="222222"/>
          <w:sz w:val="22"/>
          <w:szCs w:val="22"/>
        </w:rPr>
        <w:t xml:space="preserve"> Eligible faculty who successfully complete the transition of this phased retirement plan (F</w:t>
      </w:r>
      <w:r>
        <w:rPr>
          <w:rFonts w:ascii="Calibri" w:eastAsia="Times New Roman" w:hAnsi="Calibri" w:cs="Calibri"/>
          <w:color w:val="222222"/>
          <w:sz w:val="22"/>
          <w:szCs w:val="22"/>
        </w:rPr>
        <w:t>VP</w:t>
      </w:r>
      <w:r w:rsidRPr="008E3E22">
        <w:rPr>
          <w:rFonts w:ascii="Calibri" w:eastAsia="Times New Roman" w:hAnsi="Calibri" w:cs="Calibri"/>
          <w:color w:val="222222"/>
          <w:sz w:val="22"/>
          <w:szCs w:val="22"/>
        </w:rPr>
        <w:t>RP) will be eligible for a lump sum payment of $5,000, less customary and mandatory deductions</w:t>
      </w:r>
      <w:r>
        <w:rPr>
          <w:rFonts w:ascii="Calibri" w:eastAsia="Times New Roman" w:hAnsi="Calibri" w:cs="Calibri"/>
          <w:color w:val="222222"/>
          <w:sz w:val="22"/>
          <w:szCs w:val="22"/>
        </w:rPr>
        <w:t xml:space="preserve">. This payment is ineligible for </w:t>
      </w:r>
      <w:r w:rsidRPr="008E3E22">
        <w:rPr>
          <w:rFonts w:ascii="Calibri" w:eastAsia="Times New Roman" w:hAnsi="Calibri" w:cs="Calibri"/>
          <w:color w:val="222222"/>
          <w:sz w:val="22"/>
          <w:szCs w:val="22"/>
        </w:rPr>
        <w:t>403b contribution.</w:t>
      </w:r>
    </w:p>
    <w:p w14:paraId="4E82D90B" w14:textId="77777777" w:rsidR="00D676F4" w:rsidRPr="00D676F4" w:rsidRDefault="00D676F4" w:rsidP="00D676F4">
      <w:pPr>
        <w:pStyle w:val="ListParagraph"/>
        <w:shd w:val="clear" w:color="auto" w:fill="FFFFFF"/>
        <w:spacing w:after="240" w:line="240" w:lineRule="auto"/>
        <w:rPr>
          <w:rFonts w:ascii="Calibri" w:eastAsia="Times New Roman" w:hAnsi="Calibri" w:cs="Calibri"/>
          <w:color w:val="222222"/>
          <w:sz w:val="22"/>
          <w:szCs w:val="22"/>
        </w:rPr>
      </w:pPr>
    </w:p>
    <w:p w14:paraId="764152FE" w14:textId="1D2D1A30" w:rsidR="008E3E22" w:rsidRDefault="008E3E22" w:rsidP="00D676F4">
      <w:pPr>
        <w:pStyle w:val="ListParagraph"/>
        <w:numPr>
          <w:ilvl w:val="0"/>
          <w:numId w:val="9"/>
        </w:numPr>
        <w:shd w:val="clear" w:color="auto" w:fill="FFFFFF"/>
        <w:spacing w:after="240" w:line="240" w:lineRule="auto"/>
        <w:rPr>
          <w:rFonts w:ascii="Calibri" w:eastAsia="Times New Roman" w:hAnsi="Calibri" w:cs="Calibri"/>
          <w:color w:val="222222"/>
          <w:sz w:val="22"/>
          <w:szCs w:val="22"/>
        </w:rPr>
      </w:pPr>
      <w:r w:rsidRPr="00D676F4">
        <w:rPr>
          <w:rFonts w:ascii="Calibri" w:eastAsia="Times New Roman" w:hAnsi="Calibri" w:cs="Calibri"/>
          <w:color w:val="222222"/>
          <w:sz w:val="22"/>
          <w:szCs w:val="22"/>
          <w:u w:val="single"/>
        </w:rPr>
        <w:t>Pay Increases:</w:t>
      </w:r>
      <w:r w:rsidRPr="00D676F4">
        <w:rPr>
          <w:rFonts w:ascii="Calibri" w:eastAsia="Times New Roman" w:hAnsi="Calibri" w:cs="Calibri"/>
          <w:color w:val="222222"/>
          <w:sz w:val="22"/>
          <w:szCs w:val="22"/>
        </w:rPr>
        <w:t xml:space="preserve"> Participants in the phased retirement program are eligible for merit pay raises, if awarded, based on their academic annual salary, for each of the two years in the program. Participants are not awarded benchmark during their phased period.</w:t>
      </w:r>
    </w:p>
    <w:p w14:paraId="3C157BC1" w14:textId="3F9C6F1D" w:rsidR="00D676F4" w:rsidRPr="00D676F4" w:rsidRDefault="00D676F4" w:rsidP="00D676F4">
      <w:pPr>
        <w:pStyle w:val="ListParagraph"/>
        <w:numPr>
          <w:ilvl w:val="0"/>
          <w:numId w:val="9"/>
        </w:numPr>
        <w:shd w:val="clear" w:color="auto" w:fill="FFFFFF"/>
        <w:spacing w:after="240" w:line="240" w:lineRule="auto"/>
        <w:rPr>
          <w:rFonts w:ascii="Calibri" w:eastAsia="Times New Roman" w:hAnsi="Calibri" w:cs="Calibri"/>
          <w:color w:val="222222"/>
          <w:sz w:val="22"/>
          <w:szCs w:val="22"/>
        </w:rPr>
      </w:pPr>
      <w:r w:rsidRPr="008E3E22">
        <w:rPr>
          <w:rFonts w:ascii="Calibri" w:eastAsia="Times New Roman" w:hAnsi="Calibri" w:cs="Calibri"/>
          <w:color w:val="222222"/>
          <w:sz w:val="22"/>
          <w:szCs w:val="22"/>
          <w:u w:val="single"/>
        </w:rPr>
        <w:lastRenderedPageBreak/>
        <w:t>Benefits Eligibility:</w:t>
      </w:r>
      <w:r w:rsidRPr="008E3E22">
        <w:rPr>
          <w:rFonts w:ascii="Calibri" w:eastAsia="Times New Roman" w:hAnsi="Calibri" w:cs="Calibri"/>
          <w:color w:val="222222"/>
          <w:sz w:val="22"/>
          <w:szCs w:val="22"/>
        </w:rPr>
        <w:t xml:space="preserve">  Faculty are eligible for full university benefits while maintaining a minimum of 24 credit hours. Costs are adjusted to reflect a part-time contribution rate if teaching credit hours fall between 12 and 23. Faculty carrying less than 12 credit hours are not considered benefit eligible.</w:t>
      </w:r>
    </w:p>
    <w:p w14:paraId="4319BF5A" w14:textId="77777777" w:rsidR="008E3E22" w:rsidRPr="008E3E22" w:rsidRDefault="008E3E22" w:rsidP="008E3E22">
      <w:pPr>
        <w:pStyle w:val="ListParagraph"/>
        <w:shd w:val="clear" w:color="auto" w:fill="FFFFFF"/>
        <w:spacing w:after="240" w:line="240" w:lineRule="auto"/>
        <w:rPr>
          <w:rFonts w:ascii="Calibri" w:eastAsia="Times New Roman" w:hAnsi="Calibri" w:cs="Calibri"/>
          <w:color w:val="222222"/>
          <w:sz w:val="22"/>
          <w:szCs w:val="22"/>
        </w:rPr>
      </w:pPr>
    </w:p>
    <w:p w14:paraId="4DCEBAE2" w14:textId="77777777" w:rsidR="008E3E22" w:rsidRPr="008E3E22" w:rsidRDefault="008E3E22" w:rsidP="008E3E22">
      <w:pPr>
        <w:pStyle w:val="ListParagraph"/>
        <w:numPr>
          <w:ilvl w:val="0"/>
          <w:numId w:val="9"/>
        </w:numPr>
        <w:shd w:val="clear" w:color="auto" w:fill="FFFFFF"/>
        <w:spacing w:after="240" w:line="240" w:lineRule="auto"/>
        <w:rPr>
          <w:rFonts w:ascii="Calibri" w:eastAsia="Times New Roman" w:hAnsi="Calibri" w:cs="Calibri"/>
          <w:color w:val="222222"/>
          <w:sz w:val="22"/>
          <w:szCs w:val="22"/>
        </w:rPr>
      </w:pPr>
      <w:r w:rsidRPr="008E3E22">
        <w:rPr>
          <w:rFonts w:ascii="Calibri" w:eastAsia="Times New Roman" w:hAnsi="Calibri" w:cs="Calibri"/>
          <w:color w:val="222222"/>
          <w:sz w:val="22"/>
          <w:szCs w:val="22"/>
          <w:u w:val="single"/>
        </w:rPr>
        <w:t>Faculty Activity Report:</w:t>
      </w:r>
      <w:r w:rsidRPr="008E3E22">
        <w:rPr>
          <w:rFonts w:ascii="Calibri" w:eastAsia="Times New Roman" w:hAnsi="Calibri" w:cs="Calibri"/>
          <w:color w:val="222222"/>
          <w:sz w:val="22"/>
          <w:szCs w:val="22"/>
        </w:rPr>
        <w:t xml:space="preserve"> The completion of a Faculty Activity Report (FAR) is not required during the phased period. Please note that university policies and standards of conduct, as determined by the university and Faculty Handbook, are applicable.</w:t>
      </w:r>
    </w:p>
    <w:p w14:paraId="0EE44C1E" w14:textId="77777777" w:rsidR="008E3E22" w:rsidRPr="008E3E22" w:rsidRDefault="008E3E22" w:rsidP="008E3E22">
      <w:pPr>
        <w:pStyle w:val="ListParagraph"/>
        <w:rPr>
          <w:rFonts w:ascii="Calibri" w:eastAsia="Times New Roman" w:hAnsi="Calibri" w:cs="Calibri"/>
          <w:color w:val="222222"/>
          <w:sz w:val="22"/>
          <w:szCs w:val="22"/>
        </w:rPr>
      </w:pPr>
    </w:p>
    <w:p w14:paraId="48A294FC" w14:textId="23DC3FF5" w:rsidR="00D676F4" w:rsidRDefault="008E3E22" w:rsidP="00D676F4">
      <w:pPr>
        <w:pStyle w:val="ListParagraph"/>
        <w:numPr>
          <w:ilvl w:val="0"/>
          <w:numId w:val="9"/>
        </w:numPr>
        <w:shd w:val="clear" w:color="auto" w:fill="FFFFFF"/>
        <w:spacing w:after="240" w:line="240" w:lineRule="auto"/>
        <w:rPr>
          <w:rFonts w:ascii="Calibri" w:eastAsia="Times New Roman" w:hAnsi="Calibri" w:cs="Calibri"/>
          <w:color w:val="222222"/>
          <w:sz w:val="22"/>
          <w:szCs w:val="22"/>
        </w:rPr>
      </w:pPr>
      <w:r w:rsidRPr="008E3E22">
        <w:rPr>
          <w:rFonts w:ascii="Calibri" w:eastAsia="Times New Roman" w:hAnsi="Calibri" w:cs="Calibri"/>
          <w:color w:val="222222"/>
          <w:sz w:val="22"/>
          <w:szCs w:val="22"/>
          <w:u w:val="single"/>
        </w:rPr>
        <w:t>Promotion:</w:t>
      </w:r>
      <w:r w:rsidRPr="008E3E22">
        <w:rPr>
          <w:rFonts w:ascii="Calibri" w:eastAsia="Times New Roman" w:hAnsi="Calibri" w:cs="Calibri"/>
          <w:color w:val="222222"/>
          <w:sz w:val="22"/>
          <w:szCs w:val="22"/>
        </w:rPr>
        <w:t xml:space="preserve"> Faculty will be ineligible for promotion or job change during the phased period.</w:t>
      </w:r>
    </w:p>
    <w:p w14:paraId="798EBCF7" w14:textId="77777777" w:rsidR="00D676F4" w:rsidRPr="00D676F4" w:rsidRDefault="00D676F4" w:rsidP="00D676F4">
      <w:pPr>
        <w:pStyle w:val="ListParagraph"/>
        <w:rPr>
          <w:rFonts w:ascii="Calibri" w:eastAsia="Times New Roman" w:hAnsi="Calibri" w:cs="Calibri"/>
          <w:color w:val="222222"/>
          <w:sz w:val="22"/>
          <w:szCs w:val="22"/>
        </w:rPr>
      </w:pPr>
    </w:p>
    <w:p w14:paraId="7411D957" w14:textId="646C2563" w:rsidR="00D676F4" w:rsidRDefault="00D676F4" w:rsidP="00D676F4">
      <w:pPr>
        <w:pStyle w:val="ListParagraph"/>
        <w:numPr>
          <w:ilvl w:val="0"/>
          <w:numId w:val="9"/>
        </w:numPr>
        <w:shd w:val="clear" w:color="auto" w:fill="FFFFFF"/>
        <w:spacing w:after="100" w:afterAutospacing="1" w:line="240" w:lineRule="auto"/>
        <w:rPr>
          <w:rFonts w:ascii="Calibri" w:eastAsia="Times New Roman" w:hAnsi="Calibri" w:cs="Calibri"/>
          <w:color w:val="222222"/>
          <w:sz w:val="22"/>
          <w:szCs w:val="22"/>
        </w:rPr>
      </w:pPr>
      <w:r w:rsidRPr="00D676F4">
        <w:rPr>
          <w:rFonts w:ascii="Calibri" w:eastAsia="Times New Roman" w:hAnsi="Calibri" w:cs="Calibri"/>
          <w:color w:val="222222"/>
          <w:sz w:val="22"/>
          <w:szCs w:val="22"/>
          <w:u w:val="single"/>
        </w:rPr>
        <w:t>Credit Hours:</w:t>
      </w:r>
      <w:r>
        <w:rPr>
          <w:rFonts w:ascii="Calibri" w:eastAsia="Times New Roman" w:hAnsi="Calibri" w:cs="Calibri"/>
          <w:color w:val="222222"/>
          <w:sz w:val="22"/>
          <w:szCs w:val="22"/>
        </w:rPr>
        <w:t xml:space="preserve"> During the phased period, </w:t>
      </w:r>
      <w:r w:rsidR="004109FE">
        <w:rPr>
          <w:rFonts w:ascii="Calibri" w:eastAsia="Times New Roman" w:hAnsi="Calibri" w:cs="Calibri"/>
          <w:color w:val="222222"/>
          <w:sz w:val="22"/>
          <w:szCs w:val="22"/>
        </w:rPr>
        <w:t xml:space="preserve">credit hours are required for teaching and </w:t>
      </w:r>
      <w:r>
        <w:rPr>
          <w:rFonts w:ascii="Calibri" w:eastAsia="Times New Roman" w:hAnsi="Calibri" w:cs="Calibri"/>
          <w:color w:val="222222"/>
          <w:sz w:val="22"/>
          <w:szCs w:val="22"/>
        </w:rPr>
        <w:t>no reassignment time will be granted for scholarship activities unless specifically approved by the Dean or Provost.</w:t>
      </w:r>
    </w:p>
    <w:p w14:paraId="2D92F053" w14:textId="77777777" w:rsidR="00D676F4" w:rsidRPr="00D676F4" w:rsidRDefault="00D676F4" w:rsidP="00D676F4">
      <w:pPr>
        <w:pStyle w:val="ListParagraph"/>
        <w:spacing w:after="100" w:afterAutospacing="1" w:line="240" w:lineRule="auto"/>
        <w:rPr>
          <w:rFonts w:ascii="Calibri" w:eastAsia="Times New Roman" w:hAnsi="Calibri" w:cs="Calibri"/>
          <w:color w:val="222222"/>
          <w:sz w:val="22"/>
          <w:szCs w:val="22"/>
        </w:rPr>
      </w:pPr>
    </w:p>
    <w:p w14:paraId="3A962840" w14:textId="77777777" w:rsidR="00D676F4" w:rsidRPr="00D676F4" w:rsidRDefault="00D676F4" w:rsidP="00D676F4">
      <w:pPr>
        <w:pStyle w:val="ListParagraph"/>
        <w:shd w:val="clear" w:color="auto" w:fill="FFFFFF"/>
        <w:spacing w:after="100" w:afterAutospacing="1" w:line="240" w:lineRule="auto"/>
        <w:rPr>
          <w:rFonts w:ascii="Calibri" w:eastAsia="Times New Roman" w:hAnsi="Calibri" w:cs="Calibri"/>
          <w:color w:val="222222"/>
          <w:sz w:val="22"/>
          <w:szCs w:val="22"/>
        </w:rPr>
      </w:pPr>
    </w:p>
    <w:p w14:paraId="7367D946" w14:textId="0CE380B7" w:rsidR="008E3E22" w:rsidRPr="008E3E22" w:rsidRDefault="008E3E22" w:rsidP="00D676F4">
      <w:pPr>
        <w:pStyle w:val="ListParagraph"/>
        <w:numPr>
          <w:ilvl w:val="0"/>
          <w:numId w:val="9"/>
        </w:numPr>
        <w:shd w:val="clear" w:color="auto" w:fill="FFFFFF"/>
        <w:spacing w:after="100" w:afterAutospacing="1" w:line="240" w:lineRule="auto"/>
        <w:rPr>
          <w:rFonts w:ascii="Calibri" w:eastAsia="Times New Roman" w:hAnsi="Calibri" w:cs="Calibri"/>
          <w:color w:val="222222"/>
          <w:sz w:val="22"/>
          <w:szCs w:val="22"/>
        </w:rPr>
      </w:pPr>
      <w:r w:rsidRPr="008E3E22">
        <w:rPr>
          <w:rFonts w:ascii="Calibri" w:eastAsia="Times New Roman" w:hAnsi="Calibri" w:cs="Calibri"/>
          <w:color w:val="222222"/>
          <w:sz w:val="22"/>
          <w:szCs w:val="22"/>
          <w:u w:val="single"/>
        </w:rPr>
        <w:t>Retirement Eligibility:</w:t>
      </w:r>
      <w:r w:rsidRPr="008E3E22">
        <w:rPr>
          <w:rFonts w:ascii="Calibri" w:eastAsia="Times New Roman" w:hAnsi="Calibri" w:cs="Calibri"/>
          <w:color w:val="222222"/>
          <w:sz w:val="22"/>
          <w:szCs w:val="22"/>
        </w:rPr>
        <w:t xml:space="preserve"> Employee participation in the </w:t>
      </w:r>
      <w:proofErr w:type="gramStart"/>
      <w:r w:rsidRPr="008E3E22">
        <w:rPr>
          <w:rFonts w:ascii="Calibri" w:eastAsia="Times New Roman" w:hAnsi="Calibri" w:cs="Calibri"/>
          <w:color w:val="222222"/>
          <w:sz w:val="22"/>
          <w:szCs w:val="22"/>
        </w:rPr>
        <w:t>403(b)</w:t>
      </w:r>
      <w:r w:rsidR="00AD3D67">
        <w:rPr>
          <w:rFonts w:ascii="Calibri" w:eastAsia="Times New Roman" w:hAnsi="Calibri" w:cs="Calibri"/>
          <w:color w:val="222222"/>
          <w:sz w:val="22"/>
          <w:szCs w:val="22"/>
        </w:rPr>
        <w:t xml:space="preserve"> </w:t>
      </w:r>
      <w:r w:rsidRPr="008E3E22">
        <w:rPr>
          <w:rFonts w:ascii="Calibri" w:eastAsia="Times New Roman" w:hAnsi="Calibri" w:cs="Calibri"/>
          <w:color w:val="222222"/>
          <w:sz w:val="22"/>
          <w:szCs w:val="22"/>
        </w:rPr>
        <w:t>retirement</w:t>
      </w:r>
      <w:proofErr w:type="gramEnd"/>
      <w:r w:rsidRPr="008E3E22">
        <w:rPr>
          <w:rFonts w:ascii="Calibri" w:eastAsia="Times New Roman" w:hAnsi="Calibri" w:cs="Calibri"/>
          <w:color w:val="222222"/>
          <w:sz w:val="22"/>
          <w:szCs w:val="22"/>
        </w:rPr>
        <w:t xml:space="preserve"> savings plan will continue, with the applicable university match, through the last day of employment. Active faculty over the age of 59 ½ may access their voluntary 403 (b) savings at any time without penalty and may use these funds to supplement salary during the phased period. Tax implications </w:t>
      </w:r>
      <w:proofErr w:type="gramStart"/>
      <w:r w:rsidRPr="008E3E22">
        <w:rPr>
          <w:rFonts w:ascii="Calibri" w:eastAsia="Times New Roman" w:hAnsi="Calibri" w:cs="Calibri"/>
          <w:color w:val="222222"/>
          <w:sz w:val="22"/>
          <w:szCs w:val="22"/>
        </w:rPr>
        <w:t>of</w:t>
      </w:r>
      <w:proofErr w:type="gramEnd"/>
      <w:r w:rsidRPr="008E3E22">
        <w:rPr>
          <w:rFonts w:ascii="Calibri" w:eastAsia="Times New Roman" w:hAnsi="Calibri" w:cs="Calibri"/>
          <w:color w:val="222222"/>
          <w:sz w:val="22"/>
          <w:szCs w:val="22"/>
        </w:rPr>
        <w:t xml:space="preserve"> these withdrawals are the responsibility of the participant</w:t>
      </w:r>
      <w:r w:rsidR="00AD3D67">
        <w:rPr>
          <w:rFonts w:ascii="Calibri" w:eastAsia="Times New Roman" w:hAnsi="Calibri" w:cs="Calibri"/>
          <w:color w:val="222222"/>
          <w:sz w:val="22"/>
          <w:szCs w:val="22"/>
        </w:rPr>
        <w:t xml:space="preserve"> and proper coordination for annuity payments is required. Engaging with Fidelity early in the program is highly encouraged.</w:t>
      </w:r>
    </w:p>
    <w:p w14:paraId="72073F26" w14:textId="77777777" w:rsidR="008E3E22" w:rsidRPr="008E3E22" w:rsidRDefault="008E3E22" w:rsidP="008E3E22">
      <w:pPr>
        <w:pStyle w:val="ListParagraph"/>
        <w:shd w:val="clear" w:color="auto" w:fill="FFFFFF"/>
        <w:spacing w:after="240" w:line="240" w:lineRule="auto"/>
        <w:rPr>
          <w:rFonts w:ascii="Calibri" w:eastAsia="Times New Roman" w:hAnsi="Calibri" w:cs="Calibri"/>
          <w:color w:val="222222"/>
          <w:sz w:val="22"/>
          <w:szCs w:val="22"/>
        </w:rPr>
      </w:pPr>
    </w:p>
    <w:p w14:paraId="1B0E843A" w14:textId="77777777" w:rsidR="008E3E22" w:rsidRPr="008E3E22" w:rsidRDefault="008E3E22" w:rsidP="008E3E22">
      <w:pPr>
        <w:pStyle w:val="ListParagraph"/>
        <w:numPr>
          <w:ilvl w:val="0"/>
          <w:numId w:val="9"/>
        </w:numPr>
        <w:shd w:val="clear" w:color="auto" w:fill="FFFFFF"/>
        <w:spacing w:after="240" w:line="240" w:lineRule="auto"/>
        <w:rPr>
          <w:rFonts w:ascii="Calibri" w:eastAsia="Times New Roman" w:hAnsi="Calibri" w:cs="Calibri"/>
          <w:color w:val="222222"/>
          <w:sz w:val="22"/>
          <w:szCs w:val="22"/>
        </w:rPr>
      </w:pPr>
      <w:r w:rsidRPr="008E3E22">
        <w:rPr>
          <w:rFonts w:ascii="Calibri" w:eastAsia="Times New Roman" w:hAnsi="Calibri" w:cs="Calibri"/>
          <w:color w:val="222222"/>
          <w:sz w:val="22"/>
          <w:szCs w:val="22"/>
          <w:u w:val="single"/>
        </w:rPr>
        <w:t>Space &amp; Facilities:</w:t>
      </w:r>
      <w:r w:rsidRPr="008E3E22">
        <w:rPr>
          <w:rFonts w:ascii="Calibri" w:eastAsia="Times New Roman" w:hAnsi="Calibri" w:cs="Calibri"/>
          <w:color w:val="222222"/>
          <w:sz w:val="22"/>
          <w:szCs w:val="22"/>
        </w:rPr>
        <w:t xml:space="preserve"> Continued use of office, lab, or any other university resource and/or facility during the phased retirement period will be discussed with and determined by the faculty members’ Department Chair consistent with university guidelines considering the needs of the department, school, or university. </w:t>
      </w:r>
    </w:p>
    <w:p w14:paraId="16F35C72" w14:textId="77777777" w:rsidR="008E3E22" w:rsidRPr="008E3E22" w:rsidRDefault="008E3E22" w:rsidP="008E3E22">
      <w:pPr>
        <w:pStyle w:val="ListParagraph"/>
        <w:rPr>
          <w:rFonts w:ascii="Calibri" w:eastAsia="Times New Roman" w:hAnsi="Calibri" w:cs="Calibri"/>
          <w:color w:val="222222"/>
          <w:sz w:val="22"/>
          <w:szCs w:val="22"/>
        </w:rPr>
      </w:pPr>
    </w:p>
    <w:p w14:paraId="3605F11C" w14:textId="77777777" w:rsidR="008E3E22" w:rsidRPr="008E3E22" w:rsidRDefault="008E3E22" w:rsidP="008E3E22">
      <w:pPr>
        <w:pStyle w:val="ListParagraph"/>
        <w:rPr>
          <w:rFonts w:ascii="Calibri" w:eastAsia="Times New Roman" w:hAnsi="Calibri" w:cs="Calibri"/>
          <w:color w:val="222222"/>
          <w:sz w:val="22"/>
          <w:szCs w:val="22"/>
        </w:rPr>
      </w:pPr>
    </w:p>
    <w:p w14:paraId="1CFFA0E1" w14:textId="77777777" w:rsidR="008E3E22" w:rsidRPr="008E3E22" w:rsidRDefault="008E3E22" w:rsidP="008E3E22">
      <w:pPr>
        <w:pStyle w:val="ListParagraph"/>
        <w:rPr>
          <w:rFonts w:ascii="Calibri" w:eastAsia="Times New Roman" w:hAnsi="Calibri" w:cs="Calibri"/>
          <w:color w:val="222222"/>
          <w:sz w:val="22"/>
          <w:szCs w:val="22"/>
        </w:rPr>
      </w:pPr>
    </w:p>
    <w:p w14:paraId="15CBAC2F" w14:textId="77777777" w:rsidR="008E3E22" w:rsidRPr="008E3E22" w:rsidRDefault="008E3E22" w:rsidP="008E3E22">
      <w:pPr>
        <w:shd w:val="clear" w:color="auto" w:fill="FFFFFF"/>
        <w:spacing w:after="240" w:line="240" w:lineRule="auto"/>
        <w:rPr>
          <w:rFonts w:ascii="Calibri" w:eastAsia="Times New Roman" w:hAnsi="Calibri" w:cs="Calibri"/>
          <w:color w:val="222222"/>
          <w:sz w:val="22"/>
          <w:szCs w:val="22"/>
        </w:rPr>
      </w:pPr>
      <w:r w:rsidRPr="008E3E22">
        <w:rPr>
          <w:rFonts w:ascii="Calibri" w:eastAsia="Times New Roman" w:hAnsi="Calibri" w:cs="Calibri"/>
          <w:color w:val="222222"/>
          <w:sz w:val="22"/>
          <w:szCs w:val="22"/>
        </w:rPr>
        <w:t>Electing the Voluntary Faculty Phased Retirement Plan is a final decision and is irrevocable. At the completion of the second year of phased employment, individuals will fully retire on August 31 of that calendar year and relinquish their tenured position at the University of New Haven. As outlined in the Faculty Handbook, departments may nominate individuals for recognition as Professor Emeritus of the University.</w:t>
      </w:r>
    </w:p>
    <w:p w14:paraId="1263985F" w14:textId="77777777" w:rsidR="00A7779F" w:rsidRDefault="00A7779F" w:rsidP="00292131">
      <w:pPr>
        <w:pStyle w:val="Footer"/>
        <w:rPr>
          <w:rFonts w:ascii="Times New Roman" w:hAnsi="Times New Roman"/>
          <w:i/>
          <w:sz w:val="16"/>
        </w:rPr>
      </w:pPr>
    </w:p>
    <w:p w14:paraId="2EE5C71F" w14:textId="2397D218" w:rsidR="00292131" w:rsidRDefault="00292131" w:rsidP="00292131">
      <w:pPr>
        <w:pStyle w:val="Footer"/>
        <w:rPr>
          <w:rFonts w:ascii="Times New Roman" w:hAnsi="Times New Roman"/>
          <w:i/>
          <w:sz w:val="16"/>
        </w:rPr>
      </w:pPr>
      <w:r>
        <w:rPr>
          <w:rFonts w:ascii="Times New Roman" w:hAnsi="Times New Roman"/>
          <w:i/>
          <w:sz w:val="16"/>
        </w:rPr>
        <w:t>*Please note, full-time employment excludes time worked as an adjunct faculty member.</w:t>
      </w:r>
    </w:p>
    <w:sectPr w:rsidR="00292131" w:rsidSect="00134190">
      <w:headerReference w:type="default" r:id="rId9"/>
      <w:footerReference w:type="default" r:id="rId10"/>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1D26D" w14:textId="77777777" w:rsidR="002F0EAE" w:rsidRDefault="002F0EAE" w:rsidP="00753098">
      <w:pPr>
        <w:spacing w:after="0" w:line="240" w:lineRule="auto"/>
      </w:pPr>
      <w:r>
        <w:separator/>
      </w:r>
    </w:p>
  </w:endnote>
  <w:endnote w:type="continuationSeparator" w:id="0">
    <w:p w14:paraId="2C10DF32" w14:textId="77777777" w:rsidR="002F0EAE" w:rsidRDefault="002F0EAE" w:rsidP="0075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429DC" w14:textId="77777777" w:rsidR="00292131" w:rsidRDefault="00292131" w:rsidP="00292131">
    <w:pPr>
      <w:pStyle w:val="Footer"/>
      <w:rPr>
        <w:rFonts w:ascii="Times New Roman" w:hAnsi="Times New Roman"/>
        <w:i/>
        <w:sz w:val="16"/>
      </w:rPr>
    </w:pPr>
  </w:p>
  <w:p w14:paraId="7755F943" w14:textId="440A343A" w:rsidR="00753098" w:rsidRPr="00753098" w:rsidRDefault="00753098" w:rsidP="001B7904">
    <w:pPr>
      <w:pStyle w:val="Footer"/>
      <w:pBdr>
        <w:top w:val="single" w:sz="4" w:space="1" w:color="auto"/>
      </w:pBdr>
      <w:rPr>
        <w:rFonts w:ascii="Times New Roman" w:hAnsi="Times New Roman"/>
        <w:i/>
        <w:sz w:val="16"/>
      </w:rPr>
    </w:pPr>
    <w:r>
      <w:rPr>
        <w:rFonts w:ascii="Times New Roman" w:hAnsi="Times New Roman"/>
        <w:i/>
        <w:sz w:val="16"/>
      </w:rPr>
      <w:t xml:space="preserve">This document is a summary of a </w:t>
    </w:r>
    <w:r w:rsidR="008E3E22">
      <w:rPr>
        <w:rFonts w:ascii="Times New Roman" w:hAnsi="Times New Roman"/>
        <w:i/>
        <w:sz w:val="16"/>
      </w:rPr>
      <w:t>university</w:t>
    </w:r>
    <w:r>
      <w:rPr>
        <w:rFonts w:ascii="Times New Roman" w:hAnsi="Times New Roman"/>
        <w:i/>
        <w:sz w:val="16"/>
      </w:rPr>
      <w:t xml:space="preserve"> policy, procedure and/or guideline. All policies, procedures and/or guidelines described herein may be modified or discontinued at any time, for any reason at the University’s full and sole discretion. No policy, procedure and/or guideline should be construed as a contract or term or condition of employment between an employee and the </w:t>
    </w:r>
    <w:r w:rsidR="00252FDC">
      <w:rPr>
        <w:rFonts w:ascii="Times New Roman" w:hAnsi="Times New Roman"/>
        <w:i/>
        <w:sz w:val="16"/>
      </w:rPr>
      <w:t>University</w:t>
    </w:r>
    <w:r>
      <w:rPr>
        <w:rFonts w:ascii="Times New Roman" w:hAnsi="Times New Roman"/>
        <w:i/>
        <w:sz w:val="16"/>
      </w:rPr>
      <w:t>.</w:t>
    </w:r>
    <w:r w:rsidR="00171A8A">
      <w:rPr>
        <w:rFonts w:ascii="Times New Roman" w:hAnsi="Times New Roman"/>
        <w:i/>
        <w:sz w:val="16"/>
      </w:rPr>
      <w:t xml:space="preserve"> This policy/procedure is not intended to alter or modify any of the terms of any collective bargaining agreement or the Faculty 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B30E4" w14:textId="77777777" w:rsidR="002F0EAE" w:rsidRDefault="002F0EAE" w:rsidP="00753098">
      <w:pPr>
        <w:spacing w:after="0" w:line="240" w:lineRule="auto"/>
      </w:pPr>
      <w:r>
        <w:separator/>
      </w:r>
    </w:p>
  </w:footnote>
  <w:footnote w:type="continuationSeparator" w:id="0">
    <w:p w14:paraId="253894F7" w14:textId="77777777" w:rsidR="002F0EAE" w:rsidRDefault="002F0EAE" w:rsidP="00753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42FAD" w14:textId="427623FA" w:rsidR="00C546F6" w:rsidRPr="00C546F6" w:rsidRDefault="00C546F6" w:rsidP="00C546F6">
    <w:pPr>
      <w:pStyle w:val="Header"/>
    </w:pPr>
    <w:r>
      <w:rPr>
        <w:noProof/>
      </w:rPr>
      <w:drawing>
        <wp:inline distT="0" distB="0" distL="0" distR="0" wp14:anchorId="494F0B41" wp14:editId="786FA9DB">
          <wp:extent cx="5943600" cy="1028700"/>
          <wp:effectExtent l="0" t="0" r="0" b="0"/>
          <wp:docPr id="2" name="Picture 2" descr="unh_sig_seal_hrz_288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h_sig_seal_hrz_288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03A4"/>
    <w:multiLevelType w:val="hybridMultilevel"/>
    <w:tmpl w:val="67DC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41C06"/>
    <w:multiLevelType w:val="hybridMultilevel"/>
    <w:tmpl w:val="B670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3310E"/>
    <w:multiLevelType w:val="hybridMultilevel"/>
    <w:tmpl w:val="EAA41244"/>
    <w:lvl w:ilvl="0" w:tplc="F7564288">
      <w:start w:val="1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A571A"/>
    <w:multiLevelType w:val="hybridMultilevel"/>
    <w:tmpl w:val="AED8003E"/>
    <w:lvl w:ilvl="0" w:tplc="D8CA7876">
      <w:start w:val="1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E2BD8"/>
    <w:multiLevelType w:val="hybridMultilevel"/>
    <w:tmpl w:val="8610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36D91"/>
    <w:multiLevelType w:val="hybridMultilevel"/>
    <w:tmpl w:val="770ED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5975D1"/>
    <w:multiLevelType w:val="hybridMultilevel"/>
    <w:tmpl w:val="4532064E"/>
    <w:lvl w:ilvl="0" w:tplc="DF2A0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A7FE8"/>
    <w:multiLevelType w:val="hybridMultilevel"/>
    <w:tmpl w:val="07628E1E"/>
    <w:lvl w:ilvl="0" w:tplc="311A22F8">
      <w:start w:val="1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97175E"/>
    <w:multiLevelType w:val="hybridMultilevel"/>
    <w:tmpl w:val="632C1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48D5F0D"/>
    <w:multiLevelType w:val="multilevel"/>
    <w:tmpl w:val="83C21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A25883"/>
    <w:multiLevelType w:val="hybridMultilevel"/>
    <w:tmpl w:val="AF32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B2BC0"/>
    <w:multiLevelType w:val="hybridMultilevel"/>
    <w:tmpl w:val="D0AE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4A0F7C"/>
    <w:multiLevelType w:val="hybridMultilevel"/>
    <w:tmpl w:val="2BDC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9294898">
    <w:abstractNumId w:val="5"/>
  </w:num>
  <w:num w:numId="2" w16cid:durableId="1513882558">
    <w:abstractNumId w:val="4"/>
  </w:num>
  <w:num w:numId="3" w16cid:durableId="290788561">
    <w:abstractNumId w:val="10"/>
  </w:num>
  <w:num w:numId="4" w16cid:durableId="1000809797">
    <w:abstractNumId w:val="6"/>
  </w:num>
  <w:num w:numId="5" w16cid:durableId="1743483928">
    <w:abstractNumId w:val="0"/>
  </w:num>
  <w:num w:numId="6" w16cid:durableId="162936208">
    <w:abstractNumId w:val="1"/>
  </w:num>
  <w:num w:numId="7" w16cid:durableId="871652327">
    <w:abstractNumId w:val="12"/>
  </w:num>
  <w:num w:numId="8" w16cid:durableId="1587301320">
    <w:abstractNumId w:val="11"/>
  </w:num>
  <w:num w:numId="9" w16cid:durableId="394623473">
    <w:abstractNumId w:val="9"/>
  </w:num>
  <w:num w:numId="10" w16cid:durableId="211121029">
    <w:abstractNumId w:val="7"/>
  </w:num>
  <w:num w:numId="11" w16cid:durableId="1311866434">
    <w:abstractNumId w:val="2"/>
  </w:num>
  <w:num w:numId="12" w16cid:durableId="1741365329">
    <w:abstractNumId w:val="3"/>
  </w:num>
  <w:num w:numId="13" w16cid:durableId="825586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9E8"/>
    <w:rsid w:val="00003FCB"/>
    <w:rsid w:val="0003221C"/>
    <w:rsid w:val="00036513"/>
    <w:rsid w:val="00061F57"/>
    <w:rsid w:val="00076466"/>
    <w:rsid w:val="000B1BDF"/>
    <w:rsid w:val="000C1284"/>
    <w:rsid w:val="00114BC9"/>
    <w:rsid w:val="00134190"/>
    <w:rsid w:val="001469CE"/>
    <w:rsid w:val="00156826"/>
    <w:rsid w:val="00171A8A"/>
    <w:rsid w:val="00180545"/>
    <w:rsid w:val="00194481"/>
    <w:rsid w:val="001B24FD"/>
    <w:rsid w:val="001B7904"/>
    <w:rsid w:val="001C6C34"/>
    <w:rsid w:val="001D5023"/>
    <w:rsid w:val="001D5303"/>
    <w:rsid w:val="001E03B3"/>
    <w:rsid w:val="00224B4C"/>
    <w:rsid w:val="00226072"/>
    <w:rsid w:val="00245FFD"/>
    <w:rsid w:val="00252FDC"/>
    <w:rsid w:val="00292131"/>
    <w:rsid w:val="002D3417"/>
    <w:rsid w:val="002F0EAE"/>
    <w:rsid w:val="00301541"/>
    <w:rsid w:val="003113B9"/>
    <w:rsid w:val="00330BFD"/>
    <w:rsid w:val="003A0A4A"/>
    <w:rsid w:val="003B5FDF"/>
    <w:rsid w:val="004109FE"/>
    <w:rsid w:val="0042536A"/>
    <w:rsid w:val="00442AA4"/>
    <w:rsid w:val="00494CF0"/>
    <w:rsid w:val="00573F9A"/>
    <w:rsid w:val="005E4986"/>
    <w:rsid w:val="006034E7"/>
    <w:rsid w:val="0065630E"/>
    <w:rsid w:val="00672CB2"/>
    <w:rsid w:val="00674F1A"/>
    <w:rsid w:val="00676D5C"/>
    <w:rsid w:val="006A2993"/>
    <w:rsid w:val="006A3D34"/>
    <w:rsid w:val="006C32E8"/>
    <w:rsid w:val="006C76C0"/>
    <w:rsid w:val="006D516B"/>
    <w:rsid w:val="006F5466"/>
    <w:rsid w:val="006F6710"/>
    <w:rsid w:val="00705B27"/>
    <w:rsid w:val="00753098"/>
    <w:rsid w:val="007A212D"/>
    <w:rsid w:val="007A7387"/>
    <w:rsid w:val="008161B8"/>
    <w:rsid w:val="008451F8"/>
    <w:rsid w:val="0084560C"/>
    <w:rsid w:val="008676E4"/>
    <w:rsid w:val="0087592E"/>
    <w:rsid w:val="008827E1"/>
    <w:rsid w:val="00886FDD"/>
    <w:rsid w:val="008E3E22"/>
    <w:rsid w:val="0092026A"/>
    <w:rsid w:val="00954AF4"/>
    <w:rsid w:val="00967CF0"/>
    <w:rsid w:val="009E6562"/>
    <w:rsid w:val="009F1870"/>
    <w:rsid w:val="00A70173"/>
    <w:rsid w:val="00A7041C"/>
    <w:rsid w:val="00A7779F"/>
    <w:rsid w:val="00A91023"/>
    <w:rsid w:val="00AA0D87"/>
    <w:rsid w:val="00AD3D67"/>
    <w:rsid w:val="00AE00D6"/>
    <w:rsid w:val="00B272AE"/>
    <w:rsid w:val="00B80A92"/>
    <w:rsid w:val="00B92835"/>
    <w:rsid w:val="00BE650B"/>
    <w:rsid w:val="00BF4288"/>
    <w:rsid w:val="00C007AC"/>
    <w:rsid w:val="00C460FC"/>
    <w:rsid w:val="00C546F6"/>
    <w:rsid w:val="00C5478C"/>
    <w:rsid w:val="00C563D6"/>
    <w:rsid w:val="00C6147E"/>
    <w:rsid w:val="00CB1DCC"/>
    <w:rsid w:val="00CB317B"/>
    <w:rsid w:val="00CF224C"/>
    <w:rsid w:val="00D676F4"/>
    <w:rsid w:val="00D907B1"/>
    <w:rsid w:val="00DA2703"/>
    <w:rsid w:val="00DE192C"/>
    <w:rsid w:val="00DE5FF3"/>
    <w:rsid w:val="00DF0CE6"/>
    <w:rsid w:val="00E15A00"/>
    <w:rsid w:val="00E24426"/>
    <w:rsid w:val="00E24FFB"/>
    <w:rsid w:val="00E3116C"/>
    <w:rsid w:val="00E316B6"/>
    <w:rsid w:val="00E41C3E"/>
    <w:rsid w:val="00E83207"/>
    <w:rsid w:val="00E85DE4"/>
    <w:rsid w:val="00EC78BA"/>
    <w:rsid w:val="00ED3467"/>
    <w:rsid w:val="00EE3F0D"/>
    <w:rsid w:val="00EF09B8"/>
    <w:rsid w:val="00F007C3"/>
    <w:rsid w:val="00F96AD9"/>
    <w:rsid w:val="00FA119D"/>
    <w:rsid w:val="00FA79E8"/>
    <w:rsid w:val="00FD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98070"/>
  <w15:chartTrackingRefBased/>
  <w15:docId w15:val="{FFACCFCB-EB1D-444D-A091-B1701F8F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9E8"/>
  </w:style>
  <w:style w:type="paragraph" w:styleId="Heading1">
    <w:name w:val="heading 1"/>
    <w:basedOn w:val="Normal"/>
    <w:next w:val="Normal"/>
    <w:link w:val="Heading1Char"/>
    <w:uiPriority w:val="9"/>
    <w:qFormat/>
    <w:rsid w:val="00FA79E8"/>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FA79E8"/>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A79E8"/>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A79E8"/>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A79E8"/>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A79E8"/>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A79E8"/>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A79E8"/>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A79E8"/>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9E8"/>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FA79E8"/>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A79E8"/>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A79E8"/>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A79E8"/>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A79E8"/>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A79E8"/>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A79E8"/>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A79E8"/>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A79E8"/>
    <w:pPr>
      <w:spacing w:line="240" w:lineRule="auto"/>
    </w:pPr>
    <w:rPr>
      <w:b/>
      <w:bCs/>
      <w:smallCaps/>
      <w:color w:val="595959" w:themeColor="text1" w:themeTint="A6"/>
    </w:rPr>
  </w:style>
  <w:style w:type="paragraph" w:styleId="Title">
    <w:name w:val="Title"/>
    <w:basedOn w:val="Normal"/>
    <w:next w:val="Normal"/>
    <w:link w:val="TitleChar"/>
    <w:uiPriority w:val="10"/>
    <w:qFormat/>
    <w:rsid w:val="00FA79E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A79E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A79E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A79E8"/>
    <w:rPr>
      <w:rFonts w:asciiTheme="majorHAnsi" w:eastAsiaTheme="majorEastAsia" w:hAnsiTheme="majorHAnsi" w:cstheme="majorBidi"/>
      <w:sz w:val="30"/>
      <w:szCs w:val="30"/>
    </w:rPr>
  </w:style>
  <w:style w:type="character" w:styleId="Strong">
    <w:name w:val="Strong"/>
    <w:basedOn w:val="DefaultParagraphFont"/>
    <w:uiPriority w:val="22"/>
    <w:qFormat/>
    <w:rsid w:val="00FA79E8"/>
    <w:rPr>
      <w:b/>
      <w:bCs/>
    </w:rPr>
  </w:style>
  <w:style w:type="character" w:styleId="Emphasis">
    <w:name w:val="Emphasis"/>
    <w:basedOn w:val="DefaultParagraphFont"/>
    <w:uiPriority w:val="20"/>
    <w:qFormat/>
    <w:rsid w:val="00FA79E8"/>
    <w:rPr>
      <w:i/>
      <w:iCs/>
      <w:color w:val="F79646" w:themeColor="accent6"/>
    </w:rPr>
  </w:style>
  <w:style w:type="paragraph" w:styleId="NoSpacing">
    <w:name w:val="No Spacing"/>
    <w:uiPriority w:val="1"/>
    <w:qFormat/>
    <w:rsid w:val="00FA79E8"/>
    <w:pPr>
      <w:spacing w:after="0" w:line="240" w:lineRule="auto"/>
    </w:pPr>
  </w:style>
  <w:style w:type="paragraph" w:styleId="Quote">
    <w:name w:val="Quote"/>
    <w:basedOn w:val="Normal"/>
    <w:next w:val="Normal"/>
    <w:link w:val="QuoteChar"/>
    <w:uiPriority w:val="29"/>
    <w:qFormat/>
    <w:rsid w:val="00FA79E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A79E8"/>
    <w:rPr>
      <w:i/>
      <w:iCs/>
      <w:color w:val="262626" w:themeColor="text1" w:themeTint="D9"/>
    </w:rPr>
  </w:style>
  <w:style w:type="paragraph" w:styleId="IntenseQuote">
    <w:name w:val="Intense Quote"/>
    <w:basedOn w:val="Normal"/>
    <w:next w:val="Normal"/>
    <w:link w:val="IntenseQuoteChar"/>
    <w:uiPriority w:val="30"/>
    <w:qFormat/>
    <w:rsid w:val="00FA79E8"/>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A79E8"/>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A79E8"/>
    <w:rPr>
      <w:i/>
      <w:iCs/>
    </w:rPr>
  </w:style>
  <w:style w:type="character" w:styleId="IntenseEmphasis">
    <w:name w:val="Intense Emphasis"/>
    <w:basedOn w:val="DefaultParagraphFont"/>
    <w:uiPriority w:val="21"/>
    <w:qFormat/>
    <w:rsid w:val="00FA79E8"/>
    <w:rPr>
      <w:b/>
      <w:bCs/>
      <w:i/>
      <w:iCs/>
    </w:rPr>
  </w:style>
  <w:style w:type="character" w:styleId="SubtleReference">
    <w:name w:val="Subtle Reference"/>
    <w:basedOn w:val="DefaultParagraphFont"/>
    <w:uiPriority w:val="31"/>
    <w:qFormat/>
    <w:rsid w:val="00FA79E8"/>
    <w:rPr>
      <w:smallCaps/>
      <w:color w:val="595959" w:themeColor="text1" w:themeTint="A6"/>
    </w:rPr>
  </w:style>
  <w:style w:type="character" w:styleId="IntenseReference">
    <w:name w:val="Intense Reference"/>
    <w:basedOn w:val="DefaultParagraphFont"/>
    <w:uiPriority w:val="32"/>
    <w:qFormat/>
    <w:rsid w:val="00FA79E8"/>
    <w:rPr>
      <w:b/>
      <w:bCs/>
      <w:smallCaps/>
      <w:color w:val="F79646" w:themeColor="accent6"/>
    </w:rPr>
  </w:style>
  <w:style w:type="character" w:styleId="BookTitle">
    <w:name w:val="Book Title"/>
    <w:basedOn w:val="DefaultParagraphFont"/>
    <w:uiPriority w:val="33"/>
    <w:qFormat/>
    <w:rsid w:val="00FA79E8"/>
    <w:rPr>
      <w:b/>
      <w:bCs/>
      <w:caps w:val="0"/>
      <w:smallCaps/>
      <w:spacing w:val="7"/>
      <w:sz w:val="21"/>
      <w:szCs w:val="21"/>
    </w:rPr>
  </w:style>
  <w:style w:type="paragraph" w:styleId="TOCHeading">
    <w:name w:val="TOC Heading"/>
    <w:basedOn w:val="Heading1"/>
    <w:next w:val="Normal"/>
    <w:uiPriority w:val="39"/>
    <w:semiHidden/>
    <w:unhideWhenUsed/>
    <w:qFormat/>
    <w:rsid w:val="00FA79E8"/>
    <w:pPr>
      <w:outlineLvl w:val="9"/>
    </w:pPr>
  </w:style>
  <w:style w:type="table" w:styleId="TableGrid">
    <w:name w:val="Table Grid"/>
    <w:basedOn w:val="TableNormal"/>
    <w:uiPriority w:val="39"/>
    <w:rsid w:val="00FA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098"/>
  </w:style>
  <w:style w:type="paragraph" w:styleId="Footer">
    <w:name w:val="footer"/>
    <w:basedOn w:val="Normal"/>
    <w:link w:val="FooterChar"/>
    <w:uiPriority w:val="99"/>
    <w:unhideWhenUsed/>
    <w:rsid w:val="00753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098"/>
  </w:style>
  <w:style w:type="table" w:styleId="GridTable4">
    <w:name w:val="Grid Table 4"/>
    <w:basedOn w:val="TableNormal"/>
    <w:uiPriority w:val="49"/>
    <w:rsid w:val="0087592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CB1DCC"/>
    <w:pPr>
      <w:ind w:left="720"/>
      <w:contextualSpacing/>
    </w:pPr>
  </w:style>
  <w:style w:type="table" w:styleId="GridTable4-Accent1">
    <w:name w:val="Grid Table 4 Accent 1"/>
    <w:basedOn w:val="TableNormal"/>
    <w:uiPriority w:val="49"/>
    <w:rsid w:val="00AE00D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867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6E4"/>
    <w:rPr>
      <w:rFonts w:ascii="Segoe UI" w:hAnsi="Segoe UI" w:cs="Segoe UI"/>
      <w:sz w:val="18"/>
      <w:szCs w:val="18"/>
    </w:rPr>
  </w:style>
  <w:style w:type="paragraph" w:styleId="Revision">
    <w:name w:val="Revision"/>
    <w:hidden/>
    <w:uiPriority w:val="99"/>
    <w:semiHidden/>
    <w:rsid w:val="00674F1A"/>
    <w:pPr>
      <w:spacing w:after="0" w:line="240" w:lineRule="auto"/>
    </w:pPr>
  </w:style>
  <w:style w:type="table" w:styleId="GridTable1Light-Accent1">
    <w:name w:val="Grid Table 1 Light Accent 1"/>
    <w:basedOn w:val="TableNormal"/>
    <w:uiPriority w:val="46"/>
    <w:rsid w:val="0022607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954AF4"/>
    <w:rPr>
      <w:color w:val="0000FF" w:themeColor="hyperlink"/>
      <w:u w:val="single"/>
    </w:rPr>
  </w:style>
  <w:style w:type="character" w:styleId="UnresolvedMention">
    <w:name w:val="Unresolved Mention"/>
    <w:basedOn w:val="DefaultParagraphFont"/>
    <w:uiPriority w:val="99"/>
    <w:semiHidden/>
    <w:unhideWhenUsed/>
    <w:rsid w:val="00954AF4"/>
    <w:rPr>
      <w:color w:val="605E5C"/>
      <w:shd w:val="clear" w:color="auto" w:fill="E1DFDD"/>
    </w:rPr>
  </w:style>
  <w:style w:type="character" w:styleId="CommentReference">
    <w:name w:val="annotation reference"/>
    <w:basedOn w:val="DefaultParagraphFont"/>
    <w:uiPriority w:val="99"/>
    <w:semiHidden/>
    <w:unhideWhenUsed/>
    <w:rsid w:val="0065630E"/>
    <w:rPr>
      <w:sz w:val="16"/>
      <w:szCs w:val="16"/>
    </w:rPr>
  </w:style>
  <w:style w:type="paragraph" w:styleId="CommentText">
    <w:name w:val="annotation text"/>
    <w:basedOn w:val="Normal"/>
    <w:link w:val="CommentTextChar"/>
    <w:uiPriority w:val="99"/>
    <w:unhideWhenUsed/>
    <w:rsid w:val="0065630E"/>
    <w:pPr>
      <w:spacing w:line="240" w:lineRule="auto"/>
    </w:pPr>
    <w:rPr>
      <w:sz w:val="20"/>
      <w:szCs w:val="20"/>
    </w:rPr>
  </w:style>
  <w:style w:type="character" w:customStyle="1" w:styleId="CommentTextChar">
    <w:name w:val="Comment Text Char"/>
    <w:basedOn w:val="DefaultParagraphFont"/>
    <w:link w:val="CommentText"/>
    <w:uiPriority w:val="99"/>
    <w:rsid w:val="0065630E"/>
    <w:rPr>
      <w:sz w:val="20"/>
      <w:szCs w:val="20"/>
    </w:rPr>
  </w:style>
  <w:style w:type="paragraph" w:styleId="CommentSubject">
    <w:name w:val="annotation subject"/>
    <w:basedOn w:val="CommentText"/>
    <w:next w:val="CommentText"/>
    <w:link w:val="CommentSubjectChar"/>
    <w:uiPriority w:val="99"/>
    <w:semiHidden/>
    <w:unhideWhenUsed/>
    <w:rsid w:val="0065630E"/>
    <w:rPr>
      <w:b/>
      <w:bCs/>
    </w:rPr>
  </w:style>
  <w:style w:type="character" w:customStyle="1" w:styleId="CommentSubjectChar">
    <w:name w:val="Comment Subject Char"/>
    <w:basedOn w:val="CommentTextChar"/>
    <w:link w:val="CommentSubject"/>
    <w:uiPriority w:val="99"/>
    <w:semiHidden/>
    <w:rsid w:val="0065630E"/>
    <w:rPr>
      <w:b/>
      <w:bCs/>
      <w:sz w:val="20"/>
      <w:szCs w:val="20"/>
    </w:rPr>
  </w:style>
  <w:style w:type="paragraph" w:customStyle="1" w:styleId="DocID">
    <w:name w:val="DocID"/>
    <w:basedOn w:val="Normal"/>
    <w:qFormat/>
    <w:rsid w:val="003B5FDF"/>
    <w:pPr>
      <w:spacing w:after="160" w:line="259" w:lineRule="auto"/>
      <w:contextualSpacing/>
    </w:pPr>
    <w:rPr>
      <w:rFonts w:ascii="Times New Roman" w:eastAsiaTheme="minorHAnsi" w:hAnsi="Times New Roman"/>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43640">
      <w:bodyDiv w:val="1"/>
      <w:marLeft w:val="0"/>
      <w:marRight w:val="0"/>
      <w:marTop w:val="0"/>
      <w:marBottom w:val="0"/>
      <w:divBdr>
        <w:top w:val="none" w:sz="0" w:space="0" w:color="auto"/>
        <w:left w:val="none" w:sz="0" w:space="0" w:color="auto"/>
        <w:bottom w:val="none" w:sz="0" w:space="0" w:color="auto"/>
        <w:right w:val="none" w:sz="0" w:space="0" w:color="auto"/>
      </w:divBdr>
    </w:div>
    <w:div w:id="166331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dg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 S G ! 2 0 4 4 3 8 9 1 . 1 < / d o c u m e n t i d >  
     < s e n d e r i d > L Y O D E R < / s e n d e r i d >  
     < s e n d e r e m a i l > L Y O D E R @ G O O D W I N . C O M < / s e n d e r e m a i l >  
     < l a s t m o d i f i e d > 2 0 2 3 - 0 8 - 1 4 T 0 9 : 2 8 : 0 0 . 0 0 0 0 0 0 0 - 0 4 : 0 0 < / l a s t m o d i f i e d >  
     < d a t a b a s e > S G < / 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A2017-E27E-438D-BF6D-E9FDDC4745AB}">
  <ds:schemaRefs>
    <ds:schemaRef ds:uri="http://www.imanage.com/work/xmlschema"/>
  </ds:schemaRefs>
</ds:datastoreItem>
</file>

<file path=customXml/itemProps2.xml><?xml version="1.0" encoding="utf-8"?>
<ds:datastoreItem xmlns:ds="http://schemas.openxmlformats.org/officeDocument/2006/customXml" ds:itemID="{62139937-853B-47DB-B2F8-5A98782E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Calovine, Iris</dc:creator>
  <cp:keywords/>
  <dc:description/>
  <cp:lastModifiedBy>Calovine, Iris</cp:lastModifiedBy>
  <cp:revision>13</cp:revision>
  <cp:lastPrinted>2025-02-10T19:09:00Z</cp:lastPrinted>
  <dcterms:created xsi:type="dcterms:W3CDTF">2025-02-07T14:35:00Z</dcterms:created>
  <dcterms:modified xsi:type="dcterms:W3CDTF">2025-02-28T13:28:00Z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SG-20443891v1</vt:lpwstr>
  </property>
  <property fmtid="{D5CDD505-2E9C-101B-9397-08002B2CF9AE}" pid="3" name="DocXFormat">
    <vt:lpwstr>LibraryNumberVersion</vt:lpwstr>
  </property>
  <property fmtid="{D5CDD505-2E9C-101B-9397-08002B2CF9AE}" pid="4" name="DocXLocation">
    <vt:lpwstr>BottomOfLastPage</vt:lpwstr>
  </property>
</Properties>
</file>